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E192EA">
      <w:pPr>
        <w:ind w:firstLine="880"/>
        <w:jc w:val="center"/>
        <w:rPr>
          <w:rFonts w:ascii="方正小标宋简体" w:hAnsi="宋体" w:eastAsia="方正小标宋简体" w:cs="宋体"/>
          <w:sz w:val="44"/>
          <w:szCs w:val="44"/>
          <w:lang w:eastAsia="zh-CN"/>
        </w:rPr>
      </w:pPr>
    </w:p>
    <w:p w14:paraId="3D5D9C2E">
      <w:pPr>
        <w:ind w:firstLine="880"/>
        <w:jc w:val="center"/>
        <w:rPr>
          <w:rFonts w:ascii="方正小标宋简体" w:hAnsi="宋体" w:eastAsia="方正小标宋简体" w:cs="宋体"/>
          <w:sz w:val="44"/>
          <w:szCs w:val="44"/>
          <w:lang w:eastAsia="zh-CN"/>
        </w:rPr>
      </w:pPr>
    </w:p>
    <w:p w14:paraId="38EC0CAB">
      <w:pPr>
        <w:ind w:firstLine="0" w:firstLineChars="0"/>
        <w:jc w:val="center"/>
        <w:rPr>
          <w:rFonts w:ascii="方正小标宋简体" w:hAnsi="宋体" w:eastAsia="方正小标宋简体" w:cs="宋体"/>
          <w:spacing w:val="8"/>
          <w:sz w:val="44"/>
          <w:szCs w:val="44"/>
          <w:lang w:eastAsia="zh-CN"/>
        </w:rPr>
      </w:pPr>
      <w:r>
        <w:rPr>
          <w:rFonts w:hint="eastAsia" w:ascii="方正小标宋简体" w:hAnsi="宋体" w:eastAsia="方正小标宋简体" w:cs="宋体"/>
          <w:sz w:val="44"/>
          <w:szCs w:val="44"/>
          <w:lang w:eastAsia="zh-CN"/>
        </w:rPr>
        <w:t>《</w:t>
      </w:r>
      <w:r>
        <w:rPr>
          <w:rFonts w:hint="eastAsia" w:ascii="方正小标宋简体" w:hAnsi="宋体" w:eastAsia="方正小标宋简体" w:cs="宋体"/>
          <w:sz w:val="44"/>
          <w:szCs w:val="44"/>
          <w:lang w:val="en-US" w:eastAsia="zh-CN"/>
        </w:rPr>
        <w:t>数据中心智能配电监控系统技术规范</w:t>
      </w:r>
      <w:r>
        <w:rPr>
          <w:rFonts w:hint="eastAsia" w:ascii="方正小标宋简体" w:hAnsi="宋体" w:eastAsia="方正小标宋简体" w:cs="宋体"/>
          <w:spacing w:val="8"/>
          <w:sz w:val="44"/>
          <w:szCs w:val="44"/>
          <w:lang w:eastAsia="zh-CN"/>
        </w:rPr>
        <w:t>》</w:t>
      </w:r>
    </w:p>
    <w:p w14:paraId="5C384F06">
      <w:pPr>
        <w:ind w:firstLine="0" w:firstLineChars="0"/>
        <w:jc w:val="center"/>
        <w:rPr>
          <w:rFonts w:ascii="方正小标宋简体" w:eastAsia="方正小标宋简体"/>
          <w:spacing w:val="8"/>
          <w:sz w:val="44"/>
          <w:szCs w:val="44"/>
          <w:lang w:eastAsia="zh-CN"/>
        </w:rPr>
      </w:pPr>
      <w:r>
        <w:rPr>
          <w:rFonts w:hint="eastAsia" w:ascii="方正小标宋简体" w:hAnsi="宋体" w:eastAsia="方正小标宋简体" w:cs="宋体"/>
          <w:spacing w:val="8"/>
          <w:sz w:val="44"/>
          <w:szCs w:val="44"/>
          <w:lang w:eastAsia="zh-CN"/>
        </w:rPr>
        <w:t>（征求意见稿）</w:t>
      </w:r>
    </w:p>
    <w:p w14:paraId="75A1F1CF">
      <w:pPr>
        <w:spacing w:before="140" w:line="281" w:lineRule="auto"/>
        <w:ind w:left="1354" w:right="228" w:firstLine="860"/>
        <w:rPr>
          <w:rFonts w:ascii="黑体" w:hAnsi="黑体" w:eastAsia="黑体" w:cs="黑体"/>
          <w:sz w:val="43"/>
          <w:szCs w:val="43"/>
          <w:lang w:eastAsia="zh-CN"/>
        </w:rPr>
      </w:pPr>
    </w:p>
    <w:p w14:paraId="6E60B61F">
      <w:pPr>
        <w:ind w:firstLine="912"/>
        <w:jc w:val="center"/>
        <w:rPr>
          <w:rFonts w:ascii="方正小标宋简体" w:hAnsi="宋体" w:eastAsia="方正小标宋简体" w:cs="宋体"/>
          <w:spacing w:val="8"/>
          <w:sz w:val="44"/>
          <w:szCs w:val="44"/>
          <w:lang w:eastAsia="zh-CN"/>
        </w:rPr>
      </w:pPr>
    </w:p>
    <w:p w14:paraId="6866C894">
      <w:pPr>
        <w:ind w:firstLine="912"/>
        <w:jc w:val="center"/>
        <w:rPr>
          <w:rFonts w:ascii="方正小标宋简体" w:hAnsi="宋体" w:eastAsia="方正小标宋简体" w:cs="宋体"/>
          <w:spacing w:val="8"/>
          <w:sz w:val="44"/>
          <w:szCs w:val="44"/>
          <w:lang w:eastAsia="zh-CN"/>
        </w:rPr>
      </w:pPr>
    </w:p>
    <w:p w14:paraId="0A439AC2">
      <w:pPr>
        <w:ind w:firstLine="0" w:firstLineChars="0"/>
        <w:jc w:val="center"/>
        <w:rPr>
          <w:rFonts w:ascii="方正小标宋简体" w:hAnsi="宋体" w:eastAsia="方正小标宋简体" w:cs="宋体"/>
          <w:spacing w:val="8"/>
          <w:sz w:val="44"/>
          <w:szCs w:val="44"/>
          <w:lang w:eastAsia="zh-CN"/>
        </w:rPr>
      </w:pPr>
      <w:r>
        <w:rPr>
          <w:rFonts w:hint="eastAsia" w:ascii="方正小标宋简体" w:hAnsi="宋体" w:eastAsia="方正小标宋简体" w:cs="宋体"/>
          <w:spacing w:val="8"/>
          <w:sz w:val="44"/>
          <w:szCs w:val="44"/>
          <w:lang w:eastAsia="zh-CN"/>
        </w:rPr>
        <w:t>编</w:t>
      </w:r>
    </w:p>
    <w:p w14:paraId="09A425DA">
      <w:pPr>
        <w:ind w:firstLine="0" w:firstLineChars="0"/>
        <w:jc w:val="center"/>
        <w:rPr>
          <w:rFonts w:ascii="方正小标宋简体" w:hAnsi="宋体" w:eastAsia="方正小标宋简体" w:cs="宋体"/>
          <w:spacing w:val="8"/>
          <w:sz w:val="44"/>
          <w:szCs w:val="44"/>
          <w:lang w:eastAsia="zh-CN"/>
        </w:rPr>
      </w:pPr>
      <w:r>
        <w:rPr>
          <w:rFonts w:hint="eastAsia" w:ascii="方正小标宋简体" w:hAnsi="宋体" w:eastAsia="方正小标宋简体" w:cs="宋体"/>
          <w:spacing w:val="8"/>
          <w:sz w:val="44"/>
          <w:szCs w:val="44"/>
          <w:lang w:eastAsia="zh-CN"/>
        </w:rPr>
        <w:t>制</w:t>
      </w:r>
    </w:p>
    <w:p w14:paraId="133AC5FC">
      <w:pPr>
        <w:ind w:firstLine="0" w:firstLineChars="0"/>
        <w:jc w:val="center"/>
        <w:rPr>
          <w:rFonts w:ascii="方正小标宋简体" w:hAnsi="宋体" w:eastAsia="方正小标宋简体" w:cs="宋体"/>
          <w:spacing w:val="8"/>
          <w:sz w:val="44"/>
          <w:szCs w:val="44"/>
          <w:lang w:eastAsia="zh-CN"/>
        </w:rPr>
      </w:pPr>
      <w:r>
        <w:rPr>
          <w:rFonts w:hint="eastAsia" w:ascii="方正小标宋简体" w:hAnsi="宋体" w:eastAsia="方正小标宋简体" w:cs="宋体"/>
          <w:spacing w:val="8"/>
          <w:sz w:val="44"/>
          <w:szCs w:val="44"/>
          <w:lang w:eastAsia="zh-CN"/>
        </w:rPr>
        <w:t>说</w:t>
      </w:r>
    </w:p>
    <w:p w14:paraId="773C9243">
      <w:pPr>
        <w:ind w:firstLine="0" w:firstLineChars="0"/>
        <w:jc w:val="center"/>
        <w:rPr>
          <w:rFonts w:ascii="方正小标宋简体" w:hAnsi="宋体" w:eastAsia="方正小标宋简体" w:cs="宋体"/>
          <w:spacing w:val="8"/>
          <w:sz w:val="44"/>
          <w:szCs w:val="44"/>
          <w:lang w:eastAsia="zh-CN"/>
        </w:rPr>
      </w:pPr>
      <w:r>
        <w:rPr>
          <w:rFonts w:hint="eastAsia" w:ascii="方正小标宋简体" w:hAnsi="宋体" w:eastAsia="方正小标宋简体" w:cs="宋体"/>
          <w:spacing w:val="8"/>
          <w:sz w:val="44"/>
          <w:szCs w:val="44"/>
          <w:lang w:eastAsia="zh-CN"/>
        </w:rPr>
        <w:t>明</w:t>
      </w:r>
    </w:p>
    <w:p w14:paraId="69C4028F">
      <w:pPr>
        <w:pStyle w:val="6"/>
        <w:spacing w:line="246" w:lineRule="auto"/>
        <w:ind w:firstLine="640"/>
        <w:rPr>
          <w:lang w:eastAsia="zh-CN"/>
        </w:rPr>
      </w:pPr>
    </w:p>
    <w:p w14:paraId="1FA30949">
      <w:pPr>
        <w:pStyle w:val="6"/>
        <w:spacing w:line="246" w:lineRule="auto"/>
        <w:ind w:firstLine="640"/>
        <w:rPr>
          <w:lang w:eastAsia="zh-CN"/>
        </w:rPr>
      </w:pPr>
    </w:p>
    <w:p w14:paraId="4CA7E71F">
      <w:pPr>
        <w:pStyle w:val="6"/>
        <w:spacing w:line="246" w:lineRule="auto"/>
        <w:ind w:firstLine="640"/>
        <w:rPr>
          <w:lang w:eastAsia="zh-CN"/>
        </w:rPr>
      </w:pPr>
    </w:p>
    <w:p w14:paraId="605A738A">
      <w:pPr>
        <w:pStyle w:val="6"/>
        <w:spacing w:line="246" w:lineRule="auto"/>
        <w:ind w:firstLine="640"/>
        <w:rPr>
          <w:lang w:eastAsia="zh-CN"/>
        </w:rPr>
      </w:pPr>
    </w:p>
    <w:p w14:paraId="090F68D3">
      <w:pPr>
        <w:pStyle w:val="6"/>
        <w:spacing w:line="246" w:lineRule="auto"/>
        <w:ind w:firstLine="640"/>
        <w:rPr>
          <w:lang w:eastAsia="zh-CN"/>
        </w:rPr>
      </w:pPr>
    </w:p>
    <w:p w14:paraId="2F352B83">
      <w:pPr>
        <w:pStyle w:val="6"/>
        <w:spacing w:line="246" w:lineRule="auto"/>
        <w:ind w:firstLine="640"/>
        <w:rPr>
          <w:lang w:eastAsia="zh-CN"/>
        </w:rPr>
      </w:pPr>
    </w:p>
    <w:p w14:paraId="25D317A9">
      <w:pPr>
        <w:pStyle w:val="6"/>
        <w:spacing w:line="246" w:lineRule="auto"/>
        <w:ind w:firstLine="640"/>
        <w:rPr>
          <w:lang w:eastAsia="zh-CN"/>
        </w:rPr>
      </w:pPr>
    </w:p>
    <w:p w14:paraId="2E3F646B">
      <w:pPr>
        <w:pStyle w:val="6"/>
        <w:spacing w:line="246" w:lineRule="auto"/>
        <w:ind w:firstLine="640"/>
        <w:rPr>
          <w:lang w:eastAsia="zh-CN"/>
        </w:rPr>
      </w:pPr>
    </w:p>
    <w:p w14:paraId="50FC3549">
      <w:pPr>
        <w:pStyle w:val="6"/>
        <w:spacing w:line="246" w:lineRule="auto"/>
        <w:ind w:firstLine="640"/>
        <w:rPr>
          <w:lang w:eastAsia="zh-CN"/>
        </w:rPr>
      </w:pPr>
    </w:p>
    <w:p w14:paraId="50D003D9">
      <w:pPr>
        <w:pStyle w:val="6"/>
        <w:spacing w:line="246" w:lineRule="auto"/>
        <w:ind w:firstLine="640"/>
        <w:rPr>
          <w:lang w:eastAsia="zh-CN"/>
        </w:rPr>
      </w:pPr>
    </w:p>
    <w:p w14:paraId="129694F3">
      <w:pPr>
        <w:pStyle w:val="6"/>
        <w:spacing w:line="247" w:lineRule="auto"/>
        <w:ind w:firstLine="640"/>
        <w:rPr>
          <w:lang w:eastAsia="zh-CN"/>
        </w:rPr>
      </w:pPr>
    </w:p>
    <w:p w14:paraId="35DCE87F">
      <w:pPr>
        <w:pStyle w:val="6"/>
        <w:spacing w:line="247" w:lineRule="auto"/>
        <w:ind w:firstLine="640"/>
        <w:rPr>
          <w:lang w:eastAsia="zh-CN"/>
        </w:rPr>
      </w:pPr>
    </w:p>
    <w:p w14:paraId="76D02F25">
      <w:pPr>
        <w:pStyle w:val="6"/>
        <w:spacing w:line="247" w:lineRule="auto"/>
        <w:ind w:firstLine="640"/>
        <w:jc w:val="center"/>
        <w:rPr>
          <w:lang w:eastAsia="zh-CN"/>
        </w:rPr>
      </w:pPr>
    </w:p>
    <w:p w14:paraId="2BAD8492">
      <w:pPr>
        <w:ind w:firstLine="0" w:firstLineChars="0"/>
        <w:jc w:val="center"/>
        <w:rPr>
          <w:rFonts w:ascii="方正小标宋简体" w:hAnsi="宋体" w:eastAsia="方正小标宋简体" w:cs="宋体"/>
          <w:spacing w:val="8"/>
          <w:sz w:val="28"/>
          <w:szCs w:val="28"/>
          <w:lang w:eastAsia="zh-CN"/>
        </w:rPr>
      </w:pPr>
      <w:r>
        <w:rPr>
          <w:rFonts w:hint="eastAsia" w:ascii="方正小标宋简体" w:hAnsi="宋体" w:eastAsia="方正小标宋简体" w:cs="宋体"/>
          <w:spacing w:val="8"/>
          <w:sz w:val="28"/>
          <w:szCs w:val="28"/>
          <w:lang w:eastAsia="zh-CN"/>
        </w:rPr>
        <w:t>标准编制工作组</w:t>
      </w:r>
    </w:p>
    <w:p w14:paraId="128E4E90">
      <w:pPr>
        <w:ind w:firstLine="0" w:firstLineChars="0"/>
        <w:jc w:val="center"/>
        <w:rPr>
          <w:rFonts w:ascii="方正小标宋简体" w:hAnsi="宋体" w:eastAsia="方正小标宋简体" w:cs="宋体"/>
          <w:spacing w:val="8"/>
          <w:sz w:val="28"/>
          <w:szCs w:val="28"/>
          <w:lang w:eastAsia="zh-CN"/>
        </w:rPr>
      </w:pPr>
      <w:r>
        <w:rPr>
          <w:rFonts w:hint="eastAsia" w:ascii="方正小标宋简体" w:hAnsi="宋体" w:eastAsia="方正小标宋简体" w:cs="宋体"/>
          <w:spacing w:val="8"/>
          <w:sz w:val="28"/>
          <w:szCs w:val="28"/>
          <w:lang w:eastAsia="zh-CN"/>
        </w:rPr>
        <w:t>2</w:t>
      </w:r>
      <w:r>
        <w:rPr>
          <w:rFonts w:ascii="方正小标宋简体" w:hAnsi="宋体" w:eastAsia="方正小标宋简体" w:cs="宋体"/>
          <w:spacing w:val="8"/>
          <w:sz w:val="28"/>
          <w:szCs w:val="28"/>
          <w:lang w:eastAsia="zh-CN"/>
        </w:rPr>
        <w:t>026</w:t>
      </w:r>
      <w:r>
        <w:rPr>
          <w:rFonts w:hint="eastAsia" w:ascii="方正小标宋简体" w:hAnsi="宋体" w:eastAsia="方正小标宋简体" w:cs="宋体"/>
          <w:spacing w:val="8"/>
          <w:sz w:val="28"/>
          <w:szCs w:val="28"/>
          <w:lang w:eastAsia="zh-CN"/>
        </w:rPr>
        <w:t>年</w:t>
      </w:r>
      <w:r>
        <w:rPr>
          <w:rFonts w:hint="eastAsia" w:ascii="方正小标宋简体" w:hAnsi="宋体" w:eastAsia="方正小标宋简体" w:cs="宋体"/>
          <w:spacing w:val="8"/>
          <w:sz w:val="28"/>
          <w:szCs w:val="28"/>
          <w:lang w:val="en-US" w:eastAsia="zh-CN"/>
        </w:rPr>
        <w:t>10</w:t>
      </w:r>
      <w:r>
        <w:rPr>
          <w:rFonts w:hint="eastAsia" w:ascii="方正小标宋简体" w:hAnsi="宋体" w:eastAsia="方正小标宋简体" w:cs="宋体"/>
          <w:spacing w:val="8"/>
          <w:sz w:val="28"/>
          <w:szCs w:val="28"/>
          <w:lang w:eastAsia="zh-CN"/>
        </w:rPr>
        <w:t>月</w:t>
      </w:r>
    </w:p>
    <w:p w14:paraId="3C674EA3">
      <w:pPr>
        <w:ind w:firstLine="640"/>
        <w:rPr>
          <w:lang w:eastAsia="zh-CN"/>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titlePg/>
          <w:docGrid w:type="lines" w:linePitch="435" w:charSpace="0"/>
        </w:sectPr>
      </w:pPr>
    </w:p>
    <w:p w14:paraId="3DBA1945">
      <w:pPr>
        <w:pStyle w:val="2"/>
        <w:ind w:firstLine="640"/>
        <w:rPr>
          <w:lang w:eastAsia="zh-CN"/>
        </w:rPr>
      </w:pPr>
      <w:r>
        <w:rPr>
          <w:rFonts w:hint="eastAsia"/>
          <w:lang w:eastAsia="zh-CN"/>
        </w:rPr>
        <w:t>一、编制背景</w:t>
      </w:r>
    </w:p>
    <w:p w14:paraId="22F7EBCF">
      <w:pPr>
        <w:ind w:right="78" w:firstLine="584"/>
        <w:jc w:val="both"/>
        <w:rPr>
          <w:rFonts w:hint="eastAsia" w:ascii="仿宋_GB2312" w:hAnsi="仿宋" w:cs="仿宋"/>
          <w:spacing w:val="-14"/>
          <w:szCs w:val="32"/>
          <w:lang w:val="en-US" w:eastAsia="zh-CN"/>
        </w:rPr>
      </w:pPr>
      <w:r>
        <w:rPr>
          <w:rFonts w:hint="eastAsia" w:ascii="仿宋_GB2312" w:hAnsi="仿宋" w:cs="仿宋"/>
          <w:spacing w:val="-14"/>
          <w:szCs w:val="32"/>
          <w:lang w:val="en-US" w:eastAsia="zh-CN"/>
        </w:rPr>
        <w:t>随着云计算、大数据、人工智能等新一代信息技术的快速发展，数据中心作为算力基础设施的核心载体，其建设规模和部署密度持续攀升。供配电系统是数据中心最关键的基础设施之一，直接关系到数据中心的安全稳定运行。近年来，数据中心单机柜功率密度不断提高，中压配电设备、低压配电设备、直流操作电源系统、负载投切装置及辅助监测设备等构成的配电链路日趋复杂，传统配电监控手段已难以满足高密度发展趋势下对配电回路实时监测、故障定位与告警、统计分析等要求。</w:t>
      </w:r>
    </w:p>
    <w:p w14:paraId="7B746B89">
      <w:pPr>
        <w:ind w:right="78" w:firstLine="584"/>
        <w:jc w:val="both"/>
        <w:rPr>
          <w:rFonts w:hint="eastAsia" w:ascii="仿宋_GB2312" w:hAnsi="仿宋" w:cs="仿宋"/>
          <w:spacing w:val="-14"/>
          <w:szCs w:val="32"/>
          <w:lang w:val="en-US" w:eastAsia="zh-CN"/>
        </w:rPr>
      </w:pPr>
      <w:r>
        <w:rPr>
          <w:rFonts w:hint="eastAsia" w:ascii="仿宋_GB2312" w:hAnsi="仿宋" w:cs="仿宋"/>
          <w:spacing w:val="-14"/>
          <w:szCs w:val="32"/>
          <w:lang w:val="en-US" w:eastAsia="zh-CN"/>
        </w:rPr>
        <w:t>当前，数据中心智能配电监控系统在系统架构、数据采集、通信协议、安全防护、运维管理等方面尚缺乏统一的技术要求。不同厂商和集成商按照各自理解进行系统设计与产品开发，导致不同项目间功能差异大、系统互联互通困难、运维复杂、安全防护水平参差不齐，不仅增加了项目建设与运营成本，也制约了智能配电监控技术的规模化应用。专门面向数据中心的智能配电监控系统标准尚属空白，难以支撑行业规范化、标准化发展的迫切需求。编制《数据中心智能配电监控系统技术规范》团体标准，旨在统一数据中心智能配电监控系统的系统架构、系统功能、性能要求、安全防护及运维管理等技术内容，为数据中心智能配电监控系统的设计、建设、运行和管理提供统一、规范的技术依据，填补专门面向数据中心的智能配电监控系统标准空白，促进数据中心智能配电监控系统的规范化、标准化和健康发展。</w:t>
      </w:r>
    </w:p>
    <w:p w14:paraId="2B9C3206">
      <w:pPr>
        <w:ind w:right="78" w:firstLine="584"/>
        <w:jc w:val="both"/>
        <w:rPr>
          <w:rFonts w:hint="eastAsia" w:ascii="仿宋_GB2312" w:hAnsi="仿宋" w:cs="仿宋"/>
          <w:spacing w:val="-14"/>
          <w:szCs w:val="32"/>
          <w:lang w:val="en-US" w:eastAsia="zh-CN"/>
        </w:rPr>
      </w:pPr>
      <w:r>
        <w:rPr>
          <w:rFonts w:hint="eastAsia" w:ascii="仿宋_GB2312" w:hAnsi="仿宋" w:cs="仿宋"/>
          <w:spacing w:val="-14"/>
          <w:szCs w:val="32"/>
          <w:lang w:val="en-US" w:eastAsia="zh-CN"/>
        </w:rPr>
        <w:t>本文件可有效解决当前数据中心智能配电监控系统缺乏统一要求所导致的架构设计不统一、数据采集范围不一致、通信协议不兼容、安全防护水平参差不齐、运维管理不规范等问题，为数据中心智能配电监控系统的规划、设计、建设、验收和运维提供统一技术依据，进一步完善数据中心智能配电监控系统标准体系，满足市场与用户对实时监控、故障定位、统计分析等迫切需求。</w:t>
      </w:r>
    </w:p>
    <w:p w14:paraId="5CE9B9E7">
      <w:pPr>
        <w:pStyle w:val="2"/>
        <w:ind w:firstLine="640"/>
        <w:rPr>
          <w:lang w:eastAsia="zh-CN"/>
        </w:rPr>
      </w:pPr>
      <w:r>
        <w:rPr>
          <w:rFonts w:hint="eastAsia"/>
          <w:lang w:eastAsia="zh-CN"/>
        </w:rPr>
        <w:t>二、任务来源</w:t>
      </w:r>
    </w:p>
    <w:p w14:paraId="01F43095">
      <w:pPr>
        <w:ind w:firstLine="640"/>
        <w:jc w:val="both"/>
        <w:rPr>
          <w:rFonts w:ascii="仿宋_GB2312"/>
          <w:lang w:eastAsia="zh-CN"/>
        </w:rPr>
      </w:pPr>
      <w:r>
        <w:rPr>
          <w:rFonts w:hint="eastAsia" w:ascii="仿宋_GB2312"/>
          <w:lang w:eastAsia="zh-CN"/>
        </w:rPr>
        <w:t>为响应国家层面的政策导向，同时注意到省内智能制造行业工业物联网平台建设存在碎片化、互联互通难等共性痛点，为满足企业项目落地的标准化实施需求，杭州赛辰电气有限公司作为牵头单位，主动联合由杭州赛辰电气有限公司牵头起草，浙江赛辰数智科技有限公司、杭州谷钉纹信息技术有限公司</w:t>
      </w:r>
      <w:r>
        <w:rPr>
          <w:rFonts w:hint="eastAsia" w:ascii="仿宋_GB2312"/>
          <w:highlight w:val="none"/>
          <w:lang w:eastAsia="zh-CN"/>
        </w:rPr>
        <w:t>等相关企业</w:t>
      </w:r>
      <w:r>
        <w:rPr>
          <w:rFonts w:hint="eastAsia" w:ascii="仿宋_GB2312"/>
          <w:lang w:eastAsia="zh-CN"/>
        </w:rPr>
        <w:t>，于2026年</w:t>
      </w:r>
      <w:r>
        <w:rPr>
          <w:rFonts w:hint="eastAsia" w:ascii="仿宋_GB2312"/>
          <w:lang w:val="en-US" w:eastAsia="zh-CN"/>
        </w:rPr>
        <w:t>8</w:t>
      </w:r>
      <w:r>
        <w:rPr>
          <w:rFonts w:hint="eastAsia" w:ascii="仿宋_GB2312"/>
          <w:lang w:eastAsia="zh-CN"/>
        </w:rPr>
        <w:t>月启动团体标准化专项调研。牵头单位全面走访了数据中心建设单位、配电设备制造商、系统集成服务商及运维服务商，系统梳理出当前数据中心智能配电监控系统在系统架构、数据采集、通信协议、安全防护、运维管理等方面缺乏统一要求的突出行业堵点。经研判，当前市场缺少面向数据中心场景的智能配电监控系统综合规范，存在明确的标准供给缺口。</w:t>
      </w:r>
    </w:p>
    <w:p w14:paraId="31152832">
      <w:pPr>
        <w:ind w:firstLine="640"/>
        <w:jc w:val="both"/>
        <w:rPr>
          <w:rFonts w:ascii="仿宋_GB2312"/>
          <w:lang w:eastAsia="zh-CN"/>
        </w:rPr>
      </w:pPr>
      <w:r>
        <w:rPr>
          <w:rFonts w:hint="eastAsia" w:ascii="仿宋_GB2312"/>
          <w:lang w:eastAsia="zh-CN"/>
        </w:rPr>
        <w:t>综合国家政策导向、行业需求、起草单位多赛道项目落地的自身标准化刚需三大核心因素，牵头单位组织各参编单位共同编制立项申请材料，报送浙江省物联网产业协会。</w:t>
      </w:r>
    </w:p>
    <w:p w14:paraId="13DAE692">
      <w:pPr>
        <w:ind w:firstLine="640"/>
        <w:jc w:val="both"/>
        <w:rPr>
          <w:rFonts w:hint="default" w:ascii="仿宋_GB2312"/>
          <w:lang w:val="en-US" w:eastAsia="zh-CN"/>
        </w:rPr>
      </w:pPr>
      <w:r>
        <w:rPr>
          <w:rFonts w:hint="eastAsia" w:ascii="仿宋_GB2312"/>
          <w:lang w:eastAsia="zh-CN"/>
        </w:rPr>
        <w:t>浙江省物联网产业协会组织相关专家对立项必要性、技术可行性、产业适配性开展专项评审，同步广泛征求会员单位、行业技术专家意见，评审通过后，</w:t>
      </w:r>
      <w:r>
        <w:rPr>
          <w:rFonts w:hint="eastAsia" w:ascii="仿宋_GB2312"/>
          <w:highlight w:val="none"/>
          <w:lang w:eastAsia="zh-CN"/>
        </w:rPr>
        <w:t>于2026年</w:t>
      </w:r>
      <w:r>
        <w:rPr>
          <w:rFonts w:hint="eastAsia" w:ascii="仿宋_GB2312"/>
          <w:highlight w:val="none"/>
          <w:lang w:val="en-US" w:eastAsia="zh-CN"/>
        </w:rPr>
        <w:t>9</w:t>
      </w:r>
      <w:r>
        <w:rPr>
          <w:rFonts w:hint="eastAsia" w:ascii="仿宋_GB2312"/>
          <w:highlight w:val="none"/>
          <w:lang w:eastAsia="zh-CN"/>
        </w:rPr>
        <w:t>月</w:t>
      </w:r>
      <w:r>
        <w:rPr>
          <w:rFonts w:hint="eastAsia" w:ascii="仿宋_GB2312"/>
          <w:highlight w:val="none"/>
          <w:lang w:val="en-US" w:eastAsia="zh-CN"/>
        </w:rPr>
        <w:t>24</w:t>
      </w:r>
      <w:r>
        <w:rPr>
          <w:rFonts w:hint="eastAsia" w:ascii="仿宋_GB2312"/>
          <w:highlight w:val="none"/>
          <w:lang w:eastAsia="zh-CN"/>
        </w:rPr>
        <w:t>日正式下达本团体标准制定计划（计划号：2026-0</w:t>
      </w:r>
      <w:r>
        <w:rPr>
          <w:rFonts w:hint="eastAsia" w:ascii="仿宋_GB2312"/>
          <w:highlight w:val="none"/>
          <w:lang w:val="en-US" w:eastAsia="zh-CN"/>
        </w:rPr>
        <w:t>12</w:t>
      </w:r>
      <w:r>
        <w:rPr>
          <w:rFonts w:hint="eastAsia" w:ascii="仿宋_GB2312"/>
          <w:highlight w:val="none"/>
          <w:lang w:eastAsia="zh-CN"/>
        </w:rPr>
        <w:t>-ZAII）</w:t>
      </w:r>
      <w:r>
        <w:rPr>
          <w:rFonts w:hint="eastAsia" w:ascii="仿宋_GB2312"/>
          <w:lang w:eastAsia="zh-CN"/>
        </w:rPr>
        <w:t>，由</w:t>
      </w:r>
      <w:r>
        <w:rPr>
          <w:rFonts w:hint="eastAsia" w:ascii="仿宋_GB2312"/>
          <w:lang w:val="en-US" w:eastAsia="zh-CN"/>
        </w:rPr>
        <w:t>杭州赛辰电气有限公司</w:t>
      </w:r>
      <w:r>
        <w:rPr>
          <w:rFonts w:hint="eastAsia" w:ascii="仿宋_GB2312"/>
          <w:lang w:eastAsia="zh-CN"/>
        </w:rPr>
        <w:t>作为主起草单位牵头开展《</w:t>
      </w:r>
      <w:r>
        <w:rPr>
          <w:rFonts w:hint="eastAsia" w:ascii="仿宋_GB2312"/>
          <w:lang w:val="en-US" w:eastAsia="zh-CN"/>
        </w:rPr>
        <w:t>数据中心智能配电监控系统技术规范</w:t>
      </w:r>
      <w:r>
        <w:rPr>
          <w:rFonts w:hint="eastAsia" w:ascii="仿宋_GB2312"/>
          <w:lang w:eastAsia="zh-CN"/>
        </w:rPr>
        <w:t>》团体标准研制工作，旨在为</w:t>
      </w:r>
      <w:r>
        <w:rPr>
          <w:rFonts w:hint="eastAsia" w:ascii="仿宋_GB2312"/>
          <w:lang w:val="en-US" w:eastAsia="zh-CN"/>
        </w:rPr>
        <w:t>数据中心智能配电系统的规划、设计、建设和运维提供统一、可落地的技术规范。</w:t>
      </w:r>
    </w:p>
    <w:p w14:paraId="04CA9BA9">
      <w:pPr>
        <w:pStyle w:val="2"/>
        <w:ind w:firstLine="640"/>
        <w:rPr>
          <w:lang w:eastAsia="zh-CN"/>
        </w:rPr>
      </w:pPr>
      <w:r>
        <w:rPr>
          <w:rFonts w:hint="eastAsia"/>
          <w:lang w:eastAsia="zh-CN"/>
        </w:rPr>
        <w:t>三、标准研制过程</w:t>
      </w:r>
    </w:p>
    <w:p w14:paraId="705568CA">
      <w:pPr>
        <w:ind w:firstLine="640"/>
        <w:jc w:val="both"/>
        <w:rPr>
          <w:rFonts w:ascii="仿宋_GB2312"/>
          <w:lang w:eastAsia="zh-CN"/>
        </w:rPr>
      </w:pPr>
      <w:r>
        <w:rPr>
          <w:rFonts w:hint="eastAsia" w:ascii="仿宋_GB2312"/>
          <w:lang w:val="en-US" w:eastAsia="zh-CN"/>
        </w:rPr>
        <w:t>杭州赛辰电气有限公司</w:t>
      </w:r>
      <w:r>
        <w:rPr>
          <w:rFonts w:hint="eastAsia" w:ascii="仿宋_GB2312"/>
          <w:lang w:eastAsia="zh-CN"/>
        </w:rPr>
        <w:t>负责牵头组织起草，杭州赛辰电气有限公司牵头起草，浙江赛辰数智科技有限公司等单位共同参与了本标准的起草工作。具体起草过程如下。</w:t>
      </w:r>
    </w:p>
    <w:p w14:paraId="17A1FB3B">
      <w:pPr>
        <w:ind w:firstLine="643"/>
        <w:jc w:val="both"/>
        <w:rPr>
          <w:rFonts w:ascii="仿宋_GB2312"/>
          <w:b/>
          <w:bCs/>
          <w:lang w:eastAsia="zh-CN"/>
        </w:rPr>
      </w:pPr>
      <w:r>
        <w:rPr>
          <w:rFonts w:ascii="仿宋_GB2312"/>
          <w:b/>
          <w:bCs/>
          <w:lang w:eastAsia="zh-CN"/>
        </w:rPr>
        <w:t>1.草案阶段</w:t>
      </w:r>
    </w:p>
    <w:p w14:paraId="7AE59942">
      <w:pPr>
        <w:ind w:firstLine="640"/>
        <w:jc w:val="both"/>
        <w:rPr>
          <w:rFonts w:hint="eastAsia" w:ascii="仿宋_GB2312"/>
          <w:lang w:eastAsia="zh-CN"/>
        </w:rPr>
      </w:pPr>
      <w:r>
        <w:rPr>
          <w:rFonts w:hint="eastAsia" w:ascii="仿宋_GB2312"/>
          <w:lang w:eastAsia="zh-CN"/>
        </w:rPr>
        <w:t>2026年</w:t>
      </w:r>
      <w:r>
        <w:rPr>
          <w:rFonts w:hint="eastAsia" w:ascii="仿宋_GB2312"/>
          <w:lang w:val="en-US" w:eastAsia="zh-CN"/>
        </w:rPr>
        <w:t>8</w:t>
      </w:r>
      <w:r>
        <w:rPr>
          <w:rFonts w:hint="eastAsia" w:ascii="仿宋_GB2312"/>
          <w:lang w:eastAsia="zh-CN"/>
        </w:rPr>
        <w:t>月-2026年</w:t>
      </w:r>
      <w:r>
        <w:rPr>
          <w:rFonts w:hint="eastAsia" w:ascii="仿宋_GB2312"/>
          <w:lang w:val="en-US" w:eastAsia="zh-CN"/>
        </w:rPr>
        <w:t>9</w:t>
      </w:r>
      <w:r>
        <w:rPr>
          <w:rFonts w:hint="eastAsia" w:ascii="仿宋_GB2312"/>
          <w:lang w:eastAsia="zh-CN"/>
        </w:rPr>
        <w:t>月</w:t>
      </w:r>
      <w:r>
        <w:rPr>
          <w:rFonts w:hint="eastAsia" w:ascii="仿宋_GB2312"/>
          <w:lang w:val="en-US" w:eastAsia="zh-CN"/>
        </w:rPr>
        <w:t>中旬</w:t>
      </w:r>
      <w:r>
        <w:rPr>
          <w:rFonts w:hint="eastAsia" w:ascii="仿宋_GB2312"/>
          <w:lang w:eastAsia="zh-CN"/>
        </w:rPr>
        <w:t>，牵头单位组织各起草单位召开立项研讨会，组建标准编制组。编制组调研走访了多家数据中心建设单位、配电设备制造商及系统集成服务商，讨论数据中心智能配电监控系统的参考架构与通用要求，并在此基础上开展了标准草案编制。</w:t>
      </w:r>
    </w:p>
    <w:p w14:paraId="720BF361">
      <w:pPr>
        <w:ind w:firstLine="643"/>
        <w:jc w:val="both"/>
        <w:rPr>
          <w:rFonts w:hint="eastAsia" w:ascii="仿宋_GB2312"/>
          <w:b/>
          <w:bCs/>
          <w:lang w:eastAsia="zh-CN"/>
        </w:rPr>
      </w:pPr>
      <w:r>
        <w:rPr>
          <w:rFonts w:hint="eastAsia" w:ascii="仿宋_GB2312"/>
          <w:b/>
          <w:bCs/>
          <w:lang w:val="en-US" w:eastAsia="zh-CN"/>
        </w:rPr>
        <w:t>2.</w:t>
      </w:r>
      <w:r>
        <w:rPr>
          <w:rFonts w:hint="eastAsia" w:ascii="仿宋_GB2312"/>
          <w:b/>
          <w:bCs/>
          <w:lang w:eastAsia="zh-CN"/>
        </w:rPr>
        <w:t>标准</w:t>
      </w:r>
      <w:r>
        <w:rPr>
          <w:rFonts w:hint="eastAsia" w:ascii="仿宋_GB2312"/>
          <w:b/>
          <w:bCs/>
          <w:lang w:val="en-US" w:eastAsia="zh-CN"/>
        </w:rPr>
        <w:t>立项</w:t>
      </w:r>
    </w:p>
    <w:p w14:paraId="1D5A998A">
      <w:pPr>
        <w:ind w:firstLine="640"/>
        <w:jc w:val="both"/>
        <w:rPr>
          <w:rFonts w:hint="eastAsia" w:ascii="仿宋_GB2312"/>
          <w:highlight w:val="none"/>
          <w:lang w:val="en-US" w:eastAsia="zh-CN"/>
        </w:rPr>
      </w:pPr>
      <w:r>
        <w:rPr>
          <w:rFonts w:hint="eastAsia" w:ascii="仿宋_GB2312"/>
          <w:highlight w:val="none"/>
          <w:lang w:val="en-US" w:eastAsia="zh-CN"/>
        </w:rPr>
        <w:t>2026年9月24日，团标立项成功，立项名称为《数据中心智能配电监控系统技术规范》。</w:t>
      </w:r>
    </w:p>
    <w:p w14:paraId="29868247">
      <w:pPr>
        <w:ind w:firstLine="643"/>
        <w:jc w:val="both"/>
        <w:rPr>
          <w:rFonts w:ascii="仿宋_GB2312"/>
          <w:b/>
          <w:bCs/>
          <w:lang w:eastAsia="zh-CN"/>
        </w:rPr>
      </w:pPr>
      <w:r>
        <w:rPr>
          <w:rFonts w:hint="eastAsia" w:ascii="仿宋_GB2312"/>
          <w:b/>
          <w:bCs/>
          <w:lang w:val="en-US" w:eastAsia="zh-CN"/>
        </w:rPr>
        <w:t>3</w:t>
      </w:r>
      <w:r>
        <w:rPr>
          <w:rFonts w:ascii="仿宋_GB2312"/>
          <w:b/>
          <w:bCs/>
          <w:lang w:eastAsia="zh-CN"/>
        </w:rPr>
        <w:t>.标准研讨阶段</w:t>
      </w:r>
    </w:p>
    <w:p w14:paraId="7B9CC84C">
      <w:pPr>
        <w:ind w:firstLine="640"/>
        <w:jc w:val="both"/>
        <w:rPr>
          <w:rFonts w:hint="eastAsia" w:ascii="仿宋_GB2312"/>
          <w:highlight w:val="yellow"/>
          <w:lang w:val="en-US" w:eastAsia="zh-CN"/>
        </w:rPr>
      </w:pPr>
      <w:r>
        <w:rPr>
          <w:rFonts w:hint="eastAsia" w:ascii="仿宋_GB2312"/>
          <w:highlight w:val="none"/>
          <w:lang w:eastAsia="zh-CN"/>
        </w:rPr>
        <w:t>2026年</w:t>
      </w:r>
      <w:r>
        <w:rPr>
          <w:rFonts w:hint="eastAsia" w:ascii="仿宋_GB2312"/>
          <w:highlight w:val="none"/>
          <w:lang w:val="en-US" w:eastAsia="zh-CN"/>
        </w:rPr>
        <w:t>9月下旬</w:t>
      </w:r>
      <w:r>
        <w:rPr>
          <w:rFonts w:hint="eastAsia" w:ascii="仿宋_GB2312"/>
          <w:lang w:eastAsia="zh-CN"/>
        </w:rPr>
        <w:t>，标准牵头单位组织标准研讨会，参编单位重点开展系统架构部分讨论；同时对系统功能、性能要求、安全防护部分进行分工，相关单位对本单位负责的标准草案部分进行修改。牵头单位在此基础上更新完善形成第二版标准草案。</w:t>
      </w:r>
    </w:p>
    <w:p w14:paraId="5B834329">
      <w:pPr>
        <w:ind w:firstLine="643"/>
        <w:jc w:val="both"/>
        <w:rPr>
          <w:rFonts w:ascii="仿宋_GB2312"/>
          <w:b/>
          <w:bCs/>
          <w:lang w:eastAsia="zh-CN"/>
        </w:rPr>
      </w:pPr>
      <w:r>
        <w:rPr>
          <w:rFonts w:hint="eastAsia" w:ascii="仿宋_GB2312"/>
          <w:b/>
          <w:bCs/>
          <w:lang w:val="en-US" w:eastAsia="zh-CN"/>
        </w:rPr>
        <w:t>4</w:t>
      </w:r>
      <w:r>
        <w:rPr>
          <w:rFonts w:ascii="仿宋_GB2312"/>
          <w:b/>
          <w:bCs/>
          <w:lang w:eastAsia="zh-CN"/>
        </w:rPr>
        <w:t>.形成征求意见稿</w:t>
      </w:r>
    </w:p>
    <w:p w14:paraId="4A212FA7">
      <w:pPr>
        <w:ind w:firstLine="640"/>
        <w:jc w:val="both"/>
        <w:rPr>
          <w:rFonts w:hint="eastAsia" w:ascii="仿宋_GB2312"/>
          <w:lang w:eastAsia="zh-CN"/>
        </w:rPr>
      </w:pPr>
      <w:r>
        <w:rPr>
          <w:rFonts w:hint="eastAsia" w:ascii="仿宋_GB2312"/>
          <w:highlight w:val="none"/>
          <w:lang w:eastAsia="zh-CN"/>
        </w:rPr>
        <w:t>2026年</w:t>
      </w:r>
      <w:r>
        <w:rPr>
          <w:rFonts w:hint="eastAsia" w:ascii="仿宋_GB2312"/>
          <w:highlight w:val="none"/>
          <w:lang w:val="en-US" w:eastAsia="zh-CN"/>
        </w:rPr>
        <w:t>10</w:t>
      </w:r>
      <w:r>
        <w:rPr>
          <w:rFonts w:hint="eastAsia" w:ascii="仿宋_GB2312"/>
          <w:highlight w:val="none"/>
          <w:lang w:eastAsia="zh-CN"/>
        </w:rPr>
        <w:t>月</w:t>
      </w:r>
      <w:r>
        <w:rPr>
          <w:rFonts w:hint="eastAsia" w:ascii="仿宋_GB2312"/>
          <w:highlight w:val="none"/>
          <w:lang w:val="en-US" w:eastAsia="zh-CN"/>
        </w:rPr>
        <w:t>8</w:t>
      </w:r>
      <w:r>
        <w:rPr>
          <w:rFonts w:hint="eastAsia" w:ascii="仿宋_GB2312"/>
          <w:highlight w:val="none"/>
          <w:lang w:eastAsia="zh-CN"/>
        </w:rPr>
        <w:t>日-2026年</w:t>
      </w:r>
      <w:r>
        <w:rPr>
          <w:rFonts w:hint="eastAsia" w:ascii="仿宋_GB2312"/>
          <w:highlight w:val="none"/>
          <w:lang w:val="en-US" w:eastAsia="zh-CN"/>
        </w:rPr>
        <w:t>10</w:t>
      </w:r>
      <w:r>
        <w:rPr>
          <w:rFonts w:hint="eastAsia" w:ascii="仿宋_GB2312"/>
          <w:highlight w:val="none"/>
          <w:lang w:eastAsia="zh-CN"/>
        </w:rPr>
        <w:t>月</w:t>
      </w:r>
      <w:r>
        <w:rPr>
          <w:rFonts w:hint="eastAsia" w:ascii="仿宋_GB2312"/>
          <w:highlight w:val="none"/>
          <w:lang w:val="en-US" w:eastAsia="zh-CN"/>
        </w:rPr>
        <w:t>10</w:t>
      </w:r>
      <w:r>
        <w:rPr>
          <w:rFonts w:hint="eastAsia" w:ascii="仿宋_GB2312"/>
          <w:highlight w:val="none"/>
          <w:lang w:eastAsia="zh-CN"/>
        </w:rPr>
        <w:t>日，标准编制组对研讨会上</w:t>
      </w:r>
      <w:r>
        <w:rPr>
          <w:rFonts w:hint="eastAsia" w:ascii="仿宋_GB2312"/>
          <w:lang w:eastAsia="zh-CN"/>
        </w:rPr>
        <w:t>的意见进行了整理，修改完善形成了标准征求意见稿。</w:t>
      </w:r>
    </w:p>
    <w:p w14:paraId="7F3E6B77">
      <w:pPr>
        <w:pStyle w:val="2"/>
        <w:ind w:firstLine="640"/>
        <w:rPr>
          <w:lang w:eastAsia="zh-CN"/>
        </w:rPr>
      </w:pPr>
      <w:r>
        <w:rPr>
          <w:lang w:eastAsia="zh-CN"/>
        </w:rPr>
        <w:t>四、标准编制原则、主要内容及其确定依据</w:t>
      </w:r>
    </w:p>
    <w:p w14:paraId="45B17DC0">
      <w:pPr>
        <w:pStyle w:val="3"/>
        <w:ind w:firstLine="640"/>
        <w:rPr>
          <w:lang w:eastAsia="zh-CN"/>
        </w:rPr>
      </w:pPr>
      <w:r>
        <w:rPr>
          <w:rFonts w:hint="eastAsia"/>
          <w:lang w:eastAsia="zh-CN"/>
        </w:rPr>
        <w:t>（一）</w:t>
      </w:r>
      <w:r>
        <w:rPr>
          <w:lang w:eastAsia="zh-CN"/>
        </w:rPr>
        <w:t>编制原则</w:t>
      </w:r>
    </w:p>
    <w:p w14:paraId="029A39ED">
      <w:pPr>
        <w:pStyle w:val="4"/>
        <w:ind w:firstLine="643"/>
        <w:rPr>
          <w:rFonts w:hint="eastAsia"/>
          <w:lang w:eastAsia="zh-CN"/>
        </w:rPr>
      </w:pPr>
      <w:r>
        <w:rPr>
          <w:rFonts w:hint="eastAsia"/>
          <w:lang w:eastAsia="zh-CN"/>
        </w:rPr>
        <w:t>1. 前瞻性原则</w:t>
      </w:r>
    </w:p>
    <w:p w14:paraId="4DD400C2">
      <w:pPr>
        <w:ind w:right="78" w:firstLine="584"/>
        <w:jc w:val="both"/>
        <w:rPr>
          <w:rFonts w:hint="eastAsia" w:ascii="仿宋_GB2312" w:hAnsi="仿宋" w:cs="仿宋"/>
          <w:spacing w:val="-14"/>
          <w:szCs w:val="32"/>
          <w:lang w:val="en-US" w:eastAsia="zh-CN"/>
        </w:rPr>
      </w:pPr>
      <w:r>
        <w:rPr>
          <w:rFonts w:hint="eastAsia" w:ascii="仿宋_GB2312" w:hAnsi="仿宋" w:cs="仿宋"/>
          <w:spacing w:val="-14"/>
          <w:szCs w:val="32"/>
          <w:lang w:val="en-US" w:eastAsia="zh-CN"/>
        </w:rPr>
        <w:t>标准编制立足数据中心智能配电监控技术的发展趋势，充分考虑数据中心高密度部署、供配电链路日趋复杂等发展需求，在系统架构、功能要求、性能指标等方面适度超前，为新技术、新设备的接入和系统后续扩展预留空间，确保标准在一定时期内具有适用性和生命力。</w:t>
      </w:r>
    </w:p>
    <w:p w14:paraId="6C9B140E">
      <w:pPr>
        <w:pStyle w:val="4"/>
        <w:ind w:firstLine="643"/>
        <w:rPr>
          <w:rFonts w:hint="eastAsia"/>
          <w:lang w:eastAsia="zh-CN"/>
        </w:rPr>
      </w:pPr>
      <w:r>
        <w:rPr>
          <w:rFonts w:hint="eastAsia"/>
          <w:lang w:eastAsia="zh-CN"/>
        </w:rPr>
        <w:t>2. 实用性原则</w:t>
      </w:r>
    </w:p>
    <w:p w14:paraId="53A5FC71">
      <w:pPr>
        <w:ind w:right="78" w:firstLine="584"/>
        <w:jc w:val="both"/>
        <w:rPr>
          <w:rFonts w:hint="eastAsia" w:ascii="仿宋_GB2312" w:hAnsi="仿宋" w:cs="仿宋"/>
          <w:spacing w:val="-14"/>
          <w:szCs w:val="32"/>
          <w:lang w:val="en-US" w:eastAsia="zh-CN"/>
        </w:rPr>
      </w:pPr>
      <w:r>
        <w:rPr>
          <w:rFonts w:hint="eastAsia" w:ascii="仿宋_GB2312" w:hAnsi="仿宋" w:cs="仿宋"/>
          <w:spacing w:val="-14"/>
          <w:szCs w:val="32"/>
          <w:lang w:val="en-US" w:eastAsia="zh-CN"/>
        </w:rPr>
        <w:t>标准注重文本的可读性和技术条款的可操作性，确保各相关方“读得懂、用得上、落得实”。在技术要求条款的制定上，力求指标明确、边界清晰、可量化验证，便于设备制造商、系统集成商、软件开发商、设计院和用户在设计研发、选型采购、系统集成和验收评估等环节直接采用，降低标准落地的理解门槛和技术门槛。</w:t>
      </w:r>
    </w:p>
    <w:p w14:paraId="5AAE817B">
      <w:pPr>
        <w:pStyle w:val="4"/>
        <w:ind w:firstLine="643"/>
        <w:rPr>
          <w:rFonts w:hint="eastAsia"/>
          <w:lang w:eastAsia="zh-CN"/>
        </w:rPr>
      </w:pPr>
      <w:r>
        <w:rPr>
          <w:rFonts w:hint="eastAsia"/>
          <w:lang w:eastAsia="zh-CN"/>
        </w:rPr>
        <w:t>3. 统一性原则</w:t>
      </w:r>
    </w:p>
    <w:p w14:paraId="71E3A44A">
      <w:pPr>
        <w:ind w:right="78" w:firstLine="584"/>
        <w:jc w:val="both"/>
        <w:rPr>
          <w:rFonts w:hint="eastAsia" w:ascii="仿宋_GB2312" w:hAnsi="仿宋" w:cs="仿宋"/>
          <w:spacing w:val="-14"/>
          <w:szCs w:val="32"/>
          <w:lang w:val="en-US" w:eastAsia="zh-CN"/>
        </w:rPr>
      </w:pPr>
      <w:r>
        <w:rPr>
          <w:rFonts w:hint="eastAsia" w:ascii="仿宋_GB2312" w:hAnsi="仿宋" w:cs="仿宋"/>
          <w:spacing w:val="-14"/>
          <w:szCs w:val="32"/>
          <w:lang w:val="en-US" w:eastAsia="zh-CN"/>
        </w:rPr>
        <w:t>标准注重体系内部的逻辑自洽与表达统一。一是统一核心术语和概念定义，对数据中心智能配电监控系统涉及的关键名词（如智能配电监控系统、人机界面、事件管理等）给予明确且无歧义的界定，确保全文表述精准对应；二是确保系统架构的层级划分、各层级功能边界及技术要求的描述在逻辑上严密一致，避免章节之间出现矛盾、重叠或断层；三是技术要求和对应评价方法形成对照映射，保障标准作为技术规范文件的严谨性和权威性。</w:t>
      </w:r>
    </w:p>
    <w:p w14:paraId="54908B20">
      <w:pPr>
        <w:pStyle w:val="4"/>
        <w:ind w:firstLine="643"/>
        <w:rPr>
          <w:rFonts w:hint="eastAsia"/>
          <w:lang w:eastAsia="zh-CN"/>
        </w:rPr>
      </w:pPr>
      <w:r>
        <w:rPr>
          <w:rFonts w:hint="eastAsia"/>
          <w:lang w:eastAsia="zh-CN"/>
        </w:rPr>
        <w:t>4. 规范性原则</w:t>
      </w:r>
    </w:p>
    <w:p w14:paraId="12F6AFFD">
      <w:pPr>
        <w:ind w:right="78" w:firstLine="584"/>
        <w:jc w:val="both"/>
        <w:rPr>
          <w:rFonts w:hint="eastAsia" w:ascii="仿宋_GB2312" w:hAnsi="仿宋" w:cs="仿宋"/>
          <w:spacing w:val="-14"/>
          <w:szCs w:val="32"/>
          <w:lang w:val="en-US" w:eastAsia="zh-CN"/>
        </w:rPr>
      </w:pPr>
      <w:r>
        <w:rPr>
          <w:rFonts w:hint="eastAsia" w:ascii="仿宋_GB2312" w:hAnsi="仿宋" w:cs="仿宋"/>
          <w:spacing w:val="-14"/>
          <w:szCs w:val="32"/>
          <w:lang w:val="en-US" w:eastAsia="zh-CN"/>
        </w:rPr>
        <w:t>标准注重与外部制度环境、现有标准体系及行业技术生态的协同统一。纵向协调方面，严格落实《中华人民共和国网络安全法》《中华人民共和国数据安全法》等上位法要求，并与国家关于数据中心、物联网等政策文件的导向保持一致。横向协调方面，系统梳理国内现有数据中心、电力监控相关国家标准和行业标准。同时，积极对接国际主流技术标准（如Modbus、SNMP、OPC等通信协议），确保标准的架构理念、通信协议与接口规范在技术语言上与国际体系兼容。</w:t>
      </w:r>
    </w:p>
    <w:p w14:paraId="114D99C2">
      <w:pPr>
        <w:pStyle w:val="3"/>
        <w:ind w:firstLine="640"/>
        <w:rPr>
          <w:lang w:eastAsia="zh-CN"/>
        </w:rPr>
      </w:pPr>
      <w:r>
        <w:rPr>
          <w:rFonts w:hint="eastAsia"/>
          <w:lang w:eastAsia="zh-CN"/>
        </w:rPr>
        <w:t>（二）章节内容及确定依据</w:t>
      </w:r>
    </w:p>
    <w:p w14:paraId="2E2E52CD">
      <w:pPr>
        <w:pStyle w:val="4"/>
        <w:ind w:firstLine="643"/>
        <w:rPr>
          <w:rFonts w:hint="default"/>
          <w:lang w:val="en-US" w:eastAsia="zh-CN"/>
        </w:rPr>
      </w:pPr>
      <w:r>
        <w:rPr>
          <w:lang w:eastAsia="zh-CN"/>
        </w:rPr>
        <w:t>1.</w:t>
      </w:r>
      <w:r>
        <w:rPr>
          <w:rFonts w:hint="eastAsia"/>
          <w:lang w:eastAsia="zh-CN"/>
        </w:rPr>
        <w:t>第5章</w:t>
      </w:r>
      <w:r>
        <w:rPr>
          <w:rFonts w:hint="eastAsia"/>
          <w:lang w:val="en-US" w:eastAsia="zh-CN"/>
        </w:rPr>
        <w:t xml:space="preserve"> 系统架构</w:t>
      </w:r>
    </w:p>
    <w:p w14:paraId="69105AA7">
      <w:pPr>
        <w:ind w:right="78" w:firstLine="587"/>
        <w:jc w:val="both"/>
        <w:rPr>
          <w:rFonts w:ascii="仿宋_GB2312" w:hAnsi="仿宋" w:cs="仿宋"/>
          <w:b/>
          <w:bCs/>
          <w:spacing w:val="-14"/>
          <w:szCs w:val="32"/>
          <w:lang w:eastAsia="zh-CN"/>
        </w:rPr>
      </w:pPr>
      <w:r>
        <w:rPr>
          <w:rFonts w:hint="eastAsia" w:ascii="仿宋_GB2312" w:hAnsi="仿宋" w:cs="仿宋"/>
          <w:b/>
          <w:bCs/>
          <w:spacing w:val="-14"/>
          <w:szCs w:val="32"/>
          <w:lang w:eastAsia="zh-CN"/>
        </w:rPr>
        <w:t>（1）主要内容</w:t>
      </w:r>
    </w:p>
    <w:p w14:paraId="1ABDA7A2">
      <w:pPr>
        <w:ind w:right="78" w:firstLine="584"/>
        <w:jc w:val="both"/>
        <w:rPr>
          <w:rFonts w:hint="eastAsia" w:ascii="仿宋_GB2312" w:hAnsi="仿宋" w:cs="仿宋"/>
          <w:spacing w:val="-14"/>
          <w:szCs w:val="32"/>
          <w:lang w:eastAsia="zh-CN"/>
        </w:rPr>
      </w:pPr>
      <w:r>
        <w:rPr>
          <w:rFonts w:hint="eastAsia" w:ascii="仿宋_GB2312" w:hAnsi="仿宋" w:cs="仿宋"/>
          <w:spacing w:val="-14"/>
          <w:szCs w:val="32"/>
          <w:lang w:eastAsia="zh-CN"/>
        </w:rPr>
        <w:t>规定了数据中心智能配电监控系统应采用分层分布式的统一架构，由现场设备层、通信网络层、</w:t>
      </w:r>
      <w:r>
        <w:rPr>
          <w:rFonts w:hint="eastAsia" w:ascii="仿宋_GB2312" w:hAnsi="仿宋" w:cs="仿宋"/>
          <w:spacing w:val="-14"/>
          <w:szCs w:val="32"/>
          <w:lang w:val="en-US" w:eastAsia="zh-CN"/>
        </w:rPr>
        <w:t>系统处理</w:t>
      </w:r>
      <w:r>
        <w:rPr>
          <w:rFonts w:hint="eastAsia" w:ascii="仿宋_GB2312" w:hAnsi="仿宋" w:cs="仿宋"/>
          <w:spacing w:val="-14"/>
          <w:szCs w:val="32"/>
          <w:lang w:eastAsia="zh-CN"/>
        </w:rPr>
        <w:t>层和</w:t>
      </w:r>
      <w:r>
        <w:rPr>
          <w:rFonts w:hint="eastAsia" w:ascii="仿宋_GB2312" w:hAnsi="仿宋" w:cs="仿宋"/>
          <w:spacing w:val="-14"/>
          <w:szCs w:val="32"/>
          <w:lang w:val="en-US" w:eastAsia="zh-CN"/>
        </w:rPr>
        <w:t>应用服务</w:t>
      </w:r>
      <w:r>
        <w:rPr>
          <w:rFonts w:hint="eastAsia" w:ascii="仿宋_GB2312" w:hAnsi="仿宋" w:cs="仿宋"/>
          <w:spacing w:val="-14"/>
          <w:szCs w:val="32"/>
          <w:lang w:eastAsia="zh-CN"/>
        </w:rPr>
        <w:t>层四部分组成，安全防护体系应贯穿各层；并对各层级的具体要求作出规定。</w:t>
      </w:r>
    </w:p>
    <w:p w14:paraId="4DC472E4">
      <w:pPr>
        <w:ind w:right="78" w:firstLine="587"/>
        <w:jc w:val="both"/>
        <w:rPr>
          <w:rFonts w:ascii="仿宋_GB2312" w:hAnsi="仿宋" w:cs="仿宋"/>
          <w:b/>
          <w:bCs/>
          <w:spacing w:val="-14"/>
          <w:szCs w:val="32"/>
          <w:lang w:eastAsia="zh-CN"/>
        </w:rPr>
      </w:pPr>
      <w:r>
        <w:rPr>
          <w:rFonts w:hint="eastAsia" w:ascii="仿宋_GB2312" w:hAnsi="仿宋" w:cs="仿宋"/>
          <w:b/>
          <w:bCs/>
          <w:spacing w:val="-14"/>
          <w:szCs w:val="32"/>
          <w:lang w:eastAsia="zh-CN"/>
        </w:rPr>
        <w:t>（2）相关说明</w:t>
      </w:r>
    </w:p>
    <w:p w14:paraId="571B3D62">
      <w:pPr>
        <w:ind w:right="78" w:firstLine="587"/>
        <w:jc w:val="both"/>
        <w:rPr>
          <w:rFonts w:hint="eastAsia" w:ascii="仿宋_GB2312" w:hAnsi="仿宋" w:cs="仿宋"/>
          <w:spacing w:val="-14"/>
          <w:szCs w:val="32"/>
          <w:lang w:eastAsia="zh-CN"/>
        </w:rPr>
      </w:pPr>
      <w:r>
        <w:rPr>
          <w:rFonts w:hint="eastAsia" w:ascii="仿宋_GB2312" w:hAnsi="仿宋" w:cs="仿宋"/>
          <w:spacing w:val="-14"/>
          <w:szCs w:val="32"/>
          <w:lang w:eastAsia="zh-CN"/>
        </w:rPr>
        <w:t>采用分层分布式架构可将系统按功能解耦，明确各层级的功能边界和层间接口关系，便于系统的设计、建设和扩展。具体而言：</w:t>
      </w:r>
    </w:p>
    <w:p w14:paraId="30BC218A">
      <w:pPr>
        <w:ind w:right="78" w:firstLine="587"/>
        <w:jc w:val="both"/>
        <w:rPr>
          <w:rFonts w:hint="eastAsia" w:ascii="仿宋_GB2312" w:hAnsi="仿宋" w:cs="仿宋"/>
          <w:spacing w:val="-14"/>
          <w:szCs w:val="32"/>
          <w:lang w:eastAsia="zh-CN"/>
        </w:rPr>
      </w:pPr>
      <w:r>
        <w:rPr>
          <w:rFonts w:hint="eastAsia" w:ascii="仿宋_GB2312" w:hAnsi="仿宋" w:cs="仿宋"/>
          <w:b/>
          <w:bCs/>
          <w:spacing w:val="-14"/>
          <w:szCs w:val="32"/>
          <w:lang w:eastAsia="zh-CN"/>
        </w:rPr>
        <w:t>现场设备层</w:t>
      </w:r>
      <w:r>
        <w:rPr>
          <w:rFonts w:hint="eastAsia" w:ascii="仿宋_GB2312" w:hAnsi="仿宋" w:cs="仿宋"/>
          <w:spacing w:val="-14"/>
          <w:szCs w:val="32"/>
          <w:lang w:eastAsia="zh-CN"/>
        </w:rPr>
        <w:t>作为数据采集和执行的基础，需涵盖配电链路中的各类设备和辅助监测装置，保证数据采集的完整性和设备控制的可靠性。</w:t>
      </w:r>
    </w:p>
    <w:p w14:paraId="5F379A82">
      <w:pPr>
        <w:ind w:right="78" w:firstLine="587"/>
        <w:jc w:val="both"/>
        <w:rPr>
          <w:rFonts w:hint="eastAsia" w:ascii="仿宋_GB2312" w:hAnsi="仿宋" w:cs="仿宋"/>
          <w:spacing w:val="-14"/>
          <w:szCs w:val="32"/>
          <w:lang w:eastAsia="zh-CN"/>
        </w:rPr>
      </w:pPr>
      <w:r>
        <w:rPr>
          <w:rFonts w:hint="eastAsia" w:ascii="仿宋_GB2312" w:hAnsi="仿宋" w:cs="仿宋"/>
          <w:b/>
          <w:bCs/>
          <w:spacing w:val="-14"/>
          <w:szCs w:val="32"/>
          <w:lang w:eastAsia="zh-CN"/>
        </w:rPr>
        <w:t>通信网络层</w:t>
      </w:r>
      <w:r>
        <w:rPr>
          <w:rFonts w:hint="eastAsia" w:ascii="仿宋_GB2312" w:hAnsi="仿宋" w:cs="仿宋"/>
          <w:spacing w:val="-14"/>
          <w:szCs w:val="32"/>
          <w:lang w:eastAsia="zh-CN"/>
        </w:rPr>
        <w:t>作为数据传输通道，需保证通信的可靠性和实时性，故要求采用工业以太网并支持双网冗余，避免单点故障导致通信中断。</w:t>
      </w:r>
    </w:p>
    <w:p w14:paraId="4FA1F01A">
      <w:pPr>
        <w:ind w:right="78" w:firstLine="587"/>
        <w:jc w:val="both"/>
        <w:rPr>
          <w:rFonts w:hint="eastAsia" w:ascii="仿宋_GB2312" w:hAnsi="仿宋" w:cs="仿宋"/>
          <w:spacing w:val="-14"/>
          <w:szCs w:val="32"/>
          <w:lang w:eastAsia="zh-CN"/>
        </w:rPr>
      </w:pPr>
      <w:r>
        <w:rPr>
          <w:rFonts w:hint="eastAsia" w:ascii="仿宋_GB2312" w:hAnsi="仿宋" w:cs="仿宋"/>
          <w:b/>
          <w:bCs/>
          <w:spacing w:val="-14"/>
          <w:szCs w:val="32"/>
          <w:lang w:val="en-US" w:eastAsia="zh-CN"/>
        </w:rPr>
        <w:t>系统处理</w:t>
      </w:r>
      <w:r>
        <w:rPr>
          <w:rFonts w:hint="eastAsia" w:ascii="仿宋_GB2312" w:hAnsi="仿宋" w:cs="仿宋"/>
          <w:b/>
          <w:bCs/>
          <w:spacing w:val="-14"/>
          <w:szCs w:val="32"/>
          <w:lang w:eastAsia="zh-CN"/>
        </w:rPr>
        <w:t>层</w:t>
      </w:r>
      <w:r>
        <w:rPr>
          <w:rFonts w:hint="eastAsia" w:ascii="仿宋_GB2312" w:hAnsi="仿宋" w:cs="仿宋"/>
          <w:spacing w:val="-14"/>
          <w:szCs w:val="32"/>
          <w:lang w:eastAsia="zh-CN"/>
        </w:rPr>
        <w:t>作为系统的核心，负责数据处理、存储、报警生成和控制指令下发，需保证高可用性和模块化部署能力，故要求服务器冗余配置并支持任务分布式部署。</w:t>
      </w:r>
    </w:p>
    <w:p w14:paraId="2D0B6082">
      <w:pPr>
        <w:ind w:right="78" w:firstLine="587"/>
        <w:jc w:val="both"/>
        <w:rPr>
          <w:rFonts w:hint="eastAsia" w:ascii="仿宋_GB2312" w:hAnsi="仿宋" w:cs="仿宋"/>
          <w:spacing w:val="-14"/>
          <w:szCs w:val="32"/>
          <w:lang w:eastAsia="zh-CN"/>
        </w:rPr>
      </w:pPr>
      <w:r>
        <w:rPr>
          <w:rFonts w:hint="eastAsia" w:ascii="仿宋_GB2312" w:hAnsi="仿宋" w:cs="仿宋"/>
          <w:b/>
          <w:bCs/>
          <w:spacing w:val="-14"/>
          <w:szCs w:val="32"/>
          <w:lang w:val="en-US" w:eastAsia="zh-CN"/>
        </w:rPr>
        <w:t>应用服务</w:t>
      </w:r>
      <w:r>
        <w:rPr>
          <w:rFonts w:hint="eastAsia" w:ascii="仿宋_GB2312" w:hAnsi="仿宋" w:cs="仿宋"/>
          <w:b/>
          <w:bCs/>
          <w:spacing w:val="-14"/>
          <w:szCs w:val="32"/>
          <w:lang w:eastAsia="zh-CN"/>
        </w:rPr>
        <w:t>层</w:t>
      </w:r>
      <w:r>
        <w:rPr>
          <w:rFonts w:hint="eastAsia" w:ascii="仿宋_GB2312" w:hAnsi="仿宋" w:cs="仿宋"/>
          <w:spacing w:val="-14"/>
          <w:szCs w:val="32"/>
          <w:lang w:eastAsia="zh-CN"/>
        </w:rPr>
        <w:t>需满足不同场景下的访问需求，支持多种访问方式，便于运维人员在不同环境下获取系统信息。</w:t>
      </w:r>
    </w:p>
    <w:p w14:paraId="6BA71705">
      <w:pPr>
        <w:ind w:right="78" w:firstLine="587"/>
        <w:jc w:val="both"/>
        <w:rPr>
          <w:rFonts w:hint="eastAsia" w:ascii="仿宋_GB2312" w:hAnsi="仿宋" w:cs="仿宋"/>
          <w:spacing w:val="-14"/>
          <w:szCs w:val="32"/>
          <w:lang w:eastAsia="zh-CN"/>
        </w:rPr>
      </w:pPr>
      <w:r>
        <w:rPr>
          <w:rFonts w:hint="eastAsia" w:ascii="仿宋_GB2312" w:hAnsi="仿宋" w:cs="仿宋"/>
          <w:b/>
          <w:bCs/>
          <w:spacing w:val="-14"/>
          <w:szCs w:val="32"/>
          <w:lang w:eastAsia="zh-CN"/>
        </w:rPr>
        <w:t>安全防护体系</w:t>
      </w:r>
      <w:r>
        <w:rPr>
          <w:rFonts w:hint="eastAsia" w:ascii="仿宋_GB2312" w:hAnsi="仿宋" w:cs="仿宋"/>
          <w:spacing w:val="-14"/>
          <w:szCs w:val="32"/>
          <w:lang w:eastAsia="zh-CN"/>
        </w:rPr>
        <w:t>贯穿各层，是保障系统安全稳定运行的必要条件，需从设备安全、网络安全、数据安全三个维度构建防护能力。</w:t>
      </w:r>
    </w:p>
    <w:p w14:paraId="1D6A5B72">
      <w:pPr>
        <w:pStyle w:val="4"/>
        <w:ind w:firstLine="643"/>
        <w:rPr>
          <w:rFonts w:hint="default"/>
          <w:lang w:val="en-US" w:eastAsia="zh-CN"/>
        </w:rPr>
      </w:pPr>
      <w:r>
        <w:rPr>
          <w:lang w:eastAsia="zh-CN"/>
        </w:rPr>
        <w:t>2.</w:t>
      </w:r>
      <w:r>
        <w:rPr>
          <w:rFonts w:hint="eastAsia"/>
          <w:lang w:eastAsia="zh-CN"/>
        </w:rPr>
        <w:t>第6章</w:t>
      </w:r>
      <w:r>
        <w:rPr>
          <w:rFonts w:hint="eastAsia"/>
          <w:lang w:val="en-US" w:eastAsia="zh-CN"/>
        </w:rPr>
        <w:t xml:space="preserve"> 系统功能</w:t>
      </w:r>
    </w:p>
    <w:p w14:paraId="15286BEB">
      <w:pPr>
        <w:ind w:right="78" w:firstLine="587"/>
        <w:jc w:val="both"/>
        <w:rPr>
          <w:rFonts w:ascii="仿宋_GB2312" w:hAnsi="仿宋" w:cs="仿宋"/>
          <w:b/>
          <w:bCs/>
          <w:spacing w:val="-14"/>
          <w:szCs w:val="32"/>
          <w:lang w:eastAsia="zh-CN"/>
        </w:rPr>
      </w:pPr>
      <w:r>
        <w:rPr>
          <w:rFonts w:hint="eastAsia" w:ascii="仿宋_GB2312" w:hAnsi="仿宋" w:cs="仿宋"/>
          <w:b/>
          <w:bCs/>
          <w:spacing w:val="-14"/>
          <w:szCs w:val="32"/>
          <w:lang w:eastAsia="zh-CN"/>
        </w:rPr>
        <w:t>（1）主要内容</w:t>
      </w:r>
    </w:p>
    <w:p w14:paraId="1E650430">
      <w:pPr>
        <w:ind w:right="78" w:firstLine="584"/>
        <w:jc w:val="both"/>
        <w:rPr>
          <w:rFonts w:hint="eastAsia" w:ascii="仿宋_GB2312" w:hAnsi="仿宋" w:cs="仿宋"/>
          <w:spacing w:val="-14"/>
          <w:szCs w:val="32"/>
          <w:lang w:eastAsia="zh-CN"/>
        </w:rPr>
      </w:pPr>
      <w:r>
        <w:rPr>
          <w:rFonts w:hint="eastAsia" w:ascii="仿宋_GB2312" w:hAnsi="仿宋" w:cs="仿宋"/>
          <w:spacing w:val="-14"/>
          <w:szCs w:val="32"/>
          <w:lang w:eastAsia="zh-CN"/>
        </w:rPr>
        <w:t>规定了数据中心智能配电监控系统应具备的数据采集与处理、统计分析、远程控制、人机界面、报警管理、报表管理、数据存储、事件管理、权限管理等功能要求。</w:t>
      </w:r>
    </w:p>
    <w:p w14:paraId="7A8B209D">
      <w:pPr>
        <w:ind w:right="78" w:firstLine="587"/>
        <w:jc w:val="both"/>
        <w:rPr>
          <w:rFonts w:hint="eastAsia" w:ascii="仿宋_GB2312" w:hAnsi="仿宋" w:cs="仿宋"/>
          <w:spacing w:val="-14"/>
          <w:szCs w:val="32"/>
          <w:lang w:eastAsia="zh-CN"/>
        </w:rPr>
      </w:pPr>
      <w:r>
        <w:rPr>
          <w:rFonts w:hint="eastAsia" w:ascii="仿宋_GB2312" w:hAnsi="仿宋" w:cs="仿宋"/>
          <w:b/>
          <w:bCs/>
          <w:spacing w:val="-14"/>
          <w:szCs w:val="32"/>
          <w:lang w:eastAsia="zh-CN"/>
        </w:rPr>
        <w:t>（2）相关说明</w:t>
      </w:r>
    </w:p>
    <w:p w14:paraId="3C8F6C98">
      <w:pPr>
        <w:ind w:right="78" w:firstLine="584"/>
        <w:jc w:val="both"/>
        <w:rPr>
          <w:rFonts w:hint="eastAsia" w:ascii="仿宋_GB2312" w:hAnsi="仿宋" w:cs="仿宋"/>
          <w:spacing w:val="-14"/>
          <w:szCs w:val="32"/>
          <w:lang w:eastAsia="zh-CN"/>
        </w:rPr>
      </w:pPr>
      <w:r>
        <w:rPr>
          <w:rFonts w:hint="eastAsia" w:ascii="仿宋_GB2312" w:hAnsi="仿宋" w:cs="仿宋"/>
          <w:spacing w:val="-14"/>
          <w:szCs w:val="32"/>
          <w:lang w:eastAsia="zh-CN"/>
        </w:rPr>
        <w:t>根据数据中心配电系统运维管理的实际需求，需对各项功能提出统一要求。具体而言：</w:t>
      </w:r>
    </w:p>
    <w:p w14:paraId="4E72D900">
      <w:pPr>
        <w:ind w:right="78"/>
        <w:jc w:val="both"/>
        <w:rPr>
          <w:rFonts w:hint="eastAsia" w:ascii="仿宋_GB2312" w:hAnsi="仿宋" w:cs="仿宋"/>
          <w:spacing w:val="-14"/>
          <w:szCs w:val="32"/>
          <w:lang w:eastAsia="zh-CN"/>
        </w:rPr>
      </w:pPr>
      <w:r>
        <w:rPr>
          <w:rFonts w:hint="eastAsia" w:ascii="仿宋_GB2312" w:hAnsi="仿宋" w:cs="仿宋"/>
          <w:b/>
          <w:bCs/>
          <w:spacing w:val="-14"/>
          <w:szCs w:val="32"/>
          <w:lang w:eastAsia="zh-CN"/>
        </w:rPr>
        <w:t>数据采集与处理：</w:t>
      </w:r>
      <w:r>
        <w:rPr>
          <w:rFonts w:hint="eastAsia" w:ascii="仿宋_GB2312" w:hAnsi="仿宋" w:cs="仿宋"/>
          <w:spacing w:val="-14"/>
          <w:szCs w:val="32"/>
          <w:lang w:eastAsia="zh-CN"/>
        </w:rPr>
        <w:t>采集范围涵盖模拟量、开关量及其他相关数据，主要依据数据中心配电链路中各类电气设备运行监测的实际需要确定；数据自动检查及处理功能要求，参照电力监控系统数据处理的通行做法确定，保证数据的准确性和可用性。</w:t>
      </w:r>
    </w:p>
    <w:p w14:paraId="23BE02E5">
      <w:pPr>
        <w:ind w:right="78"/>
        <w:jc w:val="both"/>
        <w:rPr>
          <w:rFonts w:hint="eastAsia" w:ascii="仿宋_GB2312" w:hAnsi="仿宋" w:cs="仿宋"/>
          <w:b w:val="0"/>
          <w:bCs w:val="0"/>
          <w:spacing w:val="-14"/>
          <w:szCs w:val="32"/>
          <w:lang w:eastAsia="zh-CN"/>
        </w:rPr>
      </w:pPr>
      <w:r>
        <w:rPr>
          <w:rFonts w:hint="eastAsia" w:ascii="仿宋_GB2312" w:hAnsi="仿宋" w:cs="仿宋"/>
          <w:b/>
          <w:bCs/>
          <w:spacing w:val="-14"/>
          <w:szCs w:val="32"/>
          <w:lang w:eastAsia="zh-CN"/>
        </w:rPr>
        <w:t>统计分析：</w:t>
      </w:r>
      <w:r>
        <w:rPr>
          <w:rFonts w:hint="eastAsia" w:ascii="仿宋_GB2312" w:hAnsi="仿宋" w:cs="仿宋"/>
          <w:b w:val="0"/>
          <w:bCs w:val="0"/>
          <w:spacing w:val="-14"/>
          <w:szCs w:val="32"/>
          <w:lang w:eastAsia="zh-CN"/>
        </w:rPr>
        <w:t>统计内容和统计周期要求，主要依据数据中心配电系统能效分析和设备运行趋势分析的实际需要确定。</w:t>
      </w:r>
    </w:p>
    <w:p w14:paraId="63EE6D6B">
      <w:pPr>
        <w:ind w:right="78"/>
        <w:jc w:val="both"/>
        <w:rPr>
          <w:rFonts w:hint="default" w:ascii="仿宋_GB2312" w:hAnsi="仿宋" w:cs="仿宋"/>
          <w:b w:val="0"/>
          <w:bCs w:val="0"/>
          <w:spacing w:val="-14"/>
          <w:szCs w:val="32"/>
          <w:lang w:val="en-US" w:eastAsia="zh-CN"/>
        </w:rPr>
      </w:pPr>
      <w:r>
        <w:rPr>
          <w:rFonts w:hint="eastAsia" w:ascii="仿宋_GB2312" w:hAnsi="仿宋" w:cs="仿宋"/>
          <w:b/>
          <w:bCs/>
          <w:spacing w:val="-14"/>
          <w:szCs w:val="32"/>
          <w:lang w:eastAsia="zh-CN"/>
        </w:rPr>
        <w:t>远程控制：</w:t>
      </w:r>
      <w:r>
        <w:rPr>
          <w:rFonts w:hint="eastAsia" w:ascii="仿宋_GB2312" w:hAnsi="仿宋" w:cs="仿宋"/>
          <w:b w:val="0"/>
          <w:bCs w:val="0"/>
          <w:spacing w:val="-14"/>
          <w:szCs w:val="32"/>
          <w:lang w:eastAsia="zh-CN"/>
        </w:rPr>
        <w:t>远程控制功能及权限控制、操作安全机制、操作记录、控制禁止等要求，参照电力监控系统远程控制的工程实践和相关安全规定确定，在提高运维效率的同时防止误操作。</w:t>
      </w:r>
    </w:p>
    <w:p w14:paraId="09301FA8">
      <w:pPr>
        <w:ind w:right="78"/>
        <w:jc w:val="both"/>
        <w:rPr>
          <w:rFonts w:hint="eastAsia" w:ascii="仿宋_GB2312" w:hAnsi="仿宋" w:cs="仿宋"/>
          <w:spacing w:val="-14"/>
          <w:szCs w:val="32"/>
          <w:lang w:eastAsia="zh-CN"/>
        </w:rPr>
      </w:pPr>
      <w:r>
        <w:rPr>
          <w:rFonts w:hint="eastAsia" w:ascii="仿宋_GB2312" w:hAnsi="仿宋" w:cs="仿宋"/>
          <w:b/>
          <w:bCs/>
          <w:spacing w:val="-14"/>
          <w:szCs w:val="32"/>
          <w:lang w:eastAsia="zh-CN"/>
        </w:rPr>
        <w:t>人机界面：</w:t>
      </w:r>
      <w:r>
        <w:rPr>
          <w:rFonts w:hint="eastAsia" w:ascii="仿宋_GB2312" w:hAnsi="仿宋" w:cs="仿宋"/>
          <w:b w:val="0"/>
          <w:bCs w:val="0"/>
          <w:spacing w:val="-14"/>
          <w:szCs w:val="32"/>
          <w:lang w:eastAsia="zh-CN"/>
        </w:rPr>
        <w:t>界面类型主要依据数据中心配电系统日常运维的典型操作场景确定，满足不同运维人员的操作需求。</w:t>
      </w:r>
    </w:p>
    <w:p w14:paraId="45A057F0">
      <w:pPr>
        <w:ind w:right="78"/>
        <w:jc w:val="both"/>
        <w:rPr>
          <w:rFonts w:hint="eastAsia" w:ascii="仿宋_GB2312" w:hAnsi="仿宋" w:cs="仿宋"/>
          <w:spacing w:val="-14"/>
          <w:szCs w:val="32"/>
          <w:lang w:eastAsia="zh-CN"/>
        </w:rPr>
      </w:pPr>
      <w:r>
        <w:rPr>
          <w:rFonts w:hint="eastAsia" w:ascii="仿宋_GB2312" w:hAnsi="仿宋" w:cs="仿宋"/>
          <w:b/>
          <w:bCs/>
          <w:spacing w:val="-14"/>
          <w:szCs w:val="32"/>
          <w:lang w:eastAsia="zh-CN"/>
        </w:rPr>
        <w:t>报警管理：</w:t>
      </w:r>
      <w:r>
        <w:rPr>
          <w:rFonts w:hint="eastAsia" w:ascii="仿宋_GB2312" w:hAnsi="仿宋" w:cs="仿宋"/>
          <w:b w:val="0"/>
          <w:bCs w:val="0"/>
          <w:spacing w:val="-14"/>
          <w:szCs w:val="32"/>
          <w:lang w:eastAsia="zh-CN"/>
        </w:rPr>
        <w:t>报警内容、告警方式、报警功能、告警信息要素、存储和查询、时标处理等要求，参照电力监控系统报警管理的通行做法确定，保证报警信息的完整性、可追溯性和时效性；时标处理区分支持SOE和不支持SOE的设备分别提出，是为满足故障原因分析的时间精度要求。</w:t>
      </w:r>
    </w:p>
    <w:p w14:paraId="3D46BB49">
      <w:pPr>
        <w:ind w:right="78"/>
        <w:jc w:val="both"/>
        <w:rPr>
          <w:rFonts w:hint="eastAsia" w:ascii="仿宋_GB2312" w:hAnsi="仿宋" w:cs="仿宋"/>
          <w:spacing w:val="-14"/>
          <w:szCs w:val="32"/>
          <w:lang w:eastAsia="zh-CN"/>
        </w:rPr>
      </w:pPr>
      <w:r>
        <w:rPr>
          <w:rFonts w:hint="eastAsia" w:ascii="仿宋_GB2312" w:hAnsi="仿宋" w:cs="仿宋"/>
          <w:b/>
          <w:bCs/>
          <w:spacing w:val="-14"/>
          <w:szCs w:val="32"/>
          <w:lang w:eastAsia="zh-CN"/>
        </w:rPr>
        <w:t>报表管理：</w:t>
      </w:r>
      <w:r>
        <w:rPr>
          <w:rFonts w:hint="eastAsia" w:ascii="仿宋_GB2312" w:hAnsi="仿宋" w:cs="仿宋"/>
          <w:spacing w:val="-14"/>
          <w:szCs w:val="32"/>
          <w:lang w:eastAsia="zh-CN"/>
        </w:rPr>
        <w:t>需满足用户自定义和多种输出方式的需求，便于运维人员按需生成和导出数据报表；</w:t>
      </w:r>
    </w:p>
    <w:p w14:paraId="4FBC1E78">
      <w:pPr>
        <w:ind w:right="78"/>
        <w:jc w:val="both"/>
        <w:rPr>
          <w:rFonts w:hint="eastAsia" w:ascii="仿宋_GB2312" w:hAnsi="仿宋" w:cs="仿宋"/>
          <w:spacing w:val="-14"/>
          <w:szCs w:val="32"/>
          <w:lang w:eastAsia="zh-CN"/>
        </w:rPr>
      </w:pPr>
      <w:r>
        <w:rPr>
          <w:rFonts w:hint="eastAsia" w:ascii="仿宋_GB2312" w:hAnsi="仿宋" w:cs="仿宋"/>
          <w:b/>
          <w:bCs/>
          <w:spacing w:val="-14"/>
          <w:szCs w:val="32"/>
          <w:lang w:eastAsia="zh-CN"/>
        </w:rPr>
        <w:t>数据存储：</w:t>
      </w:r>
      <w:r>
        <w:rPr>
          <w:rFonts w:hint="eastAsia" w:ascii="仿宋_GB2312" w:hAnsi="仿宋" w:cs="仿宋"/>
          <w:spacing w:val="-14"/>
          <w:szCs w:val="32"/>
          <w:lang w:eastAsia="zh-CN"/>
        </w:rPr>
        <w:t>需保证历史数据的完整性和可恢复性，并根据数据重要程度分级设定存储周期；</w:t>
      </w:r>
    </w:p>
    <w:p w14:paraId="1F7E92B0">
      <w:pPr>
        <w:ind w:right="78"/>
        <w:jc w:val="both"/>
        <w:rPr>
          <w:rFonts w:hint="eastAsia" w:ascii="仿宋_GB2312" w:hAnsi="仿宋" w:cs="仿宋"/>
          <w:spacing w:val="-14"/>
          <w:szCs w:val="32"/>
          <w:lang w:eastAsia="zh-CN"/>
        </w:rPr>
      </w:pPr>
      <w:r>
        <w:rPr>
          <w:rFonts w:hint="eastAsia" w:ascii="仿宋_GB2312" w:hAnsi="仿宋" w:cs="仿宋"/>
          <w:b/>
          <w:bCs/>
          <w:spacing w:val="-14"/>
          <w:szCs w:val="32"/>
          <w:lang w:eastAsia="zh-CN"/>
        </w:rPr>
        <w:t>事件管理</w:t>
      </w:r>
      <w:r>
        <w:rPr>
          <w:rFonts w:hint="eastAsia" w:ascii="仿宋_GB2312" w:hAnsi="仿宋" w:cs="仿宋"/>
          <w:spacing w:val="-14"/>
          <w:szCs w:val="32"/>
          <w:lang w:eastAsia="zh-CN"/>
        </w:rPr>
        <w:t>：事件记录范围参照电力监控系统事件管理的通行做法确定，满足审计和事故追溯需求。</w:t>
      </w:r>
    </w:p>
    <w:p w14:paraId="33AD4E0C">
      <w:pPr>
        <w:ind w:right="78"/>
        <w:jc w:val="both"/>
        <w:rPr>
          <w:rFonts w:hint="eastAsia" w:ascii="仿宋_GB2312" w:hAnsi="仿宋" w:cs="仿宋"/>
          <w:spacing w:val="-14"/>
          <w:szCs w:val="32"/>
          <w:lang w:eastAsia="zh-CN"/>
        </w:rPr>
      </w:pPr>
      <w:r>
        <w:rPr>
          <w:rFonts w:hint="eastAsia" w:ascii="仿宋_GB2312" w:hAnsi="仿宋" w:cs="仿宋"/>
          <w:b/>
          <w:bCs/>
          <w:spacing w:val="-14"/>
          <w:szCs w:val="32"/>
          <w:lang w:eastAsia="zh-CN"/>
        </w:rPr>
        <w:t>权限管理</w:t>
      </w:r>
      <w:r>
        <w:rPr>
          <w:rFonts w:hint="eastAsia" w:ascii="仿宋_GB2312" w:hAnsi="仿宋" w:cs="仿宋"/>
          <w:spacing w:val="-14"/>
          <w:szCs w:val="32"/>
          <w:lang w:eastAsia="zh-CN"/>
        </w:rPr>
        <w:t>：权限分级、身份认证、双口令密码等要求，参照电力监控系统权限管理的通行做法确定，保证系统操作的安全性。</w:t>
      </w:r>
    </w:p>
    <w:p w14:paraId="3E3C3FA7">
      <w:pPr>
        <w:pStyle w:val="4"/>
        <w:ind w:firstLine="643"/>
        <w:rPr>
          <w:rFonts w:hint="default"/>
          <w:lang w:val="en-US" w:eastAsia="zh-CN"/>
        </w:rPr>
      </w:pPr>
      <w:r>
        <w:rPr>
          <w:lang w:eastAsia="zh-CN"/>
        </w:rPr>
        <w:t>3</w:t>
      </w:r>
      <w:r>
        <w:rPr>
          <w:rFonts w:hint="eastAsia"/>
          <w:lang w:eastAsia="zh-CN"/>
        </w:rPr>
        <w:t>.第7章</w:t>
      </w:r>
      <w:r>
        <w:rPr>
          <w:rFonts w:hint="eastAsia"/>
          <w:lang w:val="en-US" w:eastAsia="zh-CN"/>
        </w:rPr>
        <w:t xml:space="preserve"> 性能要求</w:t>
      </w:r>
    </w:p>
    <w:p w14:paraId="2862B13A">
      <w:pPr>
        <w:ind w:right="78" w:firstLine="587"/>
        <w:jc w:val="both"/>
        <w:rPr>
          <w:rFonts w:ascii="仿宋_GB2312" w:hAnsi="仿宋" w:cs="仿宋"/>
          <w:b/>
          <w:bCs/>
          <w:spacing w:val="-14"/>
          <w:szCs w:val="32"/>
          <w:lang w:eastAsia="zh-CN"/>
        </w:rPr>
      </w:pPr>
      <w:r>
        <w:rPr>
          <w:rFonts w:hint="eastAsia" w:ascii="仿宋_GB2312" w:hAnsi="仿宋" w:cs="仿宋"/>
          <w:b/>
          <w:bCs/>
          <w:spacing w:val="-14"/>
          <w:szCs w:val="32"/>
          <w:lang w:eastAsia="zh-CN"/>
        </w:rPr>
        <w:t>（1）主要内容</w:t>
      </w:r>
    </w:p>
    <w:p w14:paraId="2474AB7B">
      <w:pPr>
        <w:ind w:right="78" w:firstLine="584"/>
        <w:jc w:val="both"/>
        <w:rPr>
          <w:rFonts w:hint="eastAsia" w:ascii="仿宋_GB2312" w:hAnsi="仿宋" w:cs="仿宋"/>
          <w:spacing w:val="-14"/>
          <w:szCs w:val="32"/>
          <w:lang w:eastAsia="zh-CN"/>
        </w:rPr>
      </w:pPr>
      <w:r>
        <w:rPr>
          <w:rFonts w:hint="eastAsia" w:ascii="仿宋_GB2312" w:hAnsi="仿宋" w:cs="仿宋"/>
          <w:spacing w:val="-14"/>
          <w:szCs w:val="32"/>
          <w:lang w:eastAsia="zh-CN"/>
        </w:rPr>
        <w:t>规定了数据中心智能配电监控系统在系统可用性、系统实时性、系统可靠性和系统资源等方面应满足的性能指标。</w:t>
      </w:r>
    </w:p>
    <w:p w14:paraId="0361B937">
      <w:pPr>
        <w:numPr>
          <w:ilvl w:val="0"/>
          <w:numId w:val="1"/>
        </w:numPr>
        <w:ind w:right="78" w:firstLine="587"/>
        <w:jc w:val="both"/>
        <w:rPr>
          <w:rFonts w:hint="eastAsia" w:ascii="仿宋_GB2312" w:hAnsi="仿宋" w:cs="仿宋"/>
          <w:b/>
          <w:bCs/>
          <w:spacing w:val="-14"/>
          <w:szCs w:val="32"/>
          <w:lang w:eastAsia="zh-CN"/>
        </w:rPr>
      </w:pPr>
      <w:r>
        <w:rPr>
          <w:rFonts w:hint="eastAsia" w:ascii="仿宋_GB2312" w:hAnsi="仿宋" w:cs="仿宋"/>
          <w:b/>
          <w:bCs/>
          <w:spacing w:val="-14"/>
          <w:szCs w:val="32"/>
          <w:lang w:eastAsia="zh-CN"/>
        </w:rPr>
        <w:t>相关说明</w:t>
      </w:r>
    </w:p>
    <w:p w14:paraId="7EADE8F1">
      <w:pPr>
        <w:numPr>
          <w:ilvl w:val="0"/>
          <w:numId w:val="0"/>
        </w:numPr>
        <w:ind w:right="78" w:rightChars="0" w:firstLine="584" w:firstLineChars="200"/>
        <w:jc w:val="both"/>
        <w:rPr>
          <w:rFonts w:hint="eastAsia" w:ascii="仿宋_GB2312" w:hAnsi="仿宋" w:eastAsia="仿宋_GB2312" w:cs="仿宋"/>
          <w:b w:val="0"/>
          <w:bCs w:val="0"/>
          <w:snapToGrid w:val="0"/>
          <w:color w:val="000000"/>
          <w:spacing w:val="-14"/>
          <w:kern w:val="0"/>
          <w:sz w:val="32"/>
          <w:szCs w:val="32"/>
          <w:lang w:val="en-US" w:eastAsia="zh-CN" w:bidi="ar-SA"/>
        </w:rPr>
      </w:pPr>
      <w:r>
        <w:rPr>
          <w:rFonts w:hint="eastAsia" w:ascii="仿宋_GB2312" w:hAnsi="仿宋" w:eastAsia="仿宋_GB2312" w:cs="仿宋"/>
          <w:b w:val="0"/>
          <w:bCs w:val="0"/>
          <w:snapToGrid w:val="0"/>
          <w:color w:val="000000"/>
          <w:spacing w:val="-14"/>
          <w:kern w:val="0"/>
          <w:sz w:val="32"/>
          <w:szCs w:val="32"/>
          <w:lang w:val="en-US" w:eastAsia="zh-CN" w:bidi="ar-SA"/>
        </w:rPr>
        <w:t>数据中心对供配电系统的安全可靠性要求极高，需通过量化性能指标保障系统运行质量。具体而言：</w:t>
      </w:r>
    </w:p>
    <w:p w14:paraId="5B3B0AB9">
      <w:pPr>
        <w:numPr>
          <w:ilvl w:val="0"/>
          <w:numId w:val="0"/>
        </w:numPr>
        <w:ind w:right="78" w:rightChars="0" w:firstLine="587" w:firstLineChars="200"/>
        <w:jc w:val="both"/>
        <w:rPr>
          <w:rFonts w:hint="eastAsia" w:ascii="仿宋_GB2312" w:hAnsi="仿宋" w:eastAsia="仿宋_GB2312" w:cs="仿宋"/>
          <w:b w:val="0"/>
          <w:bCs w:val="0"/>
          <w:snapToGrid w:val="0"/>
          <w:color w:val="000000"/>
          <w:spacing w:val="-14"/>
          <w:kern w:val="0"/>
          <w:sz w:val="32"/>
          <w:szCs w:val="32"/>
          <w:lang w:val="en-US" w:eastAsia="zh-CN" w:bidi="ar-SA"/>
        </w:rPr>
      </w:pPr>
      <w:r>
        <w:rPr>
          <w:rFonts w:hint="eastAsia" w:ascii="仿宋_GB2312" w:hAnsi="仿宋" w:eastAsia="仿宋_GB2312" w:cs="仿宋"/>
          <w:b/>
          <w:bCs/>
          <w:snapToGrid w:val="0"/>
          <w:color w:val="000000"/>
          <w:spacing w:val="-14"/>
          <w:kern w:val="0"/>
          <w:sz w:val="32"/>
          <w:szCs w:val="32"/>
          <w:lang w:val="en-US" w:eastAsia="zh-CN" w:bidi="ar-SA"/>
        </w:rPr>
        <w:t>系统可用性指标</w:t>
      </w:r>
      <w:r>
        <w:rPr>
          <w:rFonts w:hint="eastAsia" w:ascii="仿宋_GB2312" w:hAnsi="仿宋" w:eastAsia="仿宋_GB2312" w:cs="仿宋"/>
          <w:b w:val="0"/>
          <w:bCs w:val="0"/>
          <w:snapToGrid w:val="0"/>
          <w:color w:val="000000"/>
          <w:spacing w:val="-14"/>
          <w:kern w:val="0"/>
          <w:sz w:val="32"/>
          <w:szCs w:val="32"/>
          <w:lang w:val="en-US" w:eastAsia="zh-CN" w:bidi="ar-SA"/>
        </w:rPr>
        <w:t>。依据GB 50174《数据中心设计规范》对数据中心分级的要求</w:t>
      </w:r>
      <w:r>
        <w:rPr>
          <w:rFonts w:hint="eastAsia" w:ascii="仿宋_GB2312" w:hAnsi="仿宋" w:cs="仿宋"/>
          <w:b w:val="0"/>
          <w:bCs w:val="0"/>
          <w:snapToGrid w:val="0"/>
          <w:color w:val="000000"/>
          <w:spacing w:val="-14"/>
          <w:kern w:val="0"/>
          <w:sz w:val="32"/>
          <w:szCs w:val="32"/>
          <w:lang w:val="en-US" w:eastAsia="zh-CN" w:bidi="ar-SA"/>
        </w:rPr>
        <w:t>，对</w:t>
      </w:r>
      <w:r>
        <w:rPr>
          <w:rFonts w:hint="eastAsia" w:ascii="仿宋_GB2312" w:hAnsi="仿宋" w:eastAsia="仿宋_GB2312" w:cs="仿宋"/>
          <w:b w:val="0"/>
          <w:bCs w:val="0"/>
          <w:snapToGrid w:val="0"/>
          <w:color w:val="000000"/>
          <w:spacing w:val="-14"/>
          <w:kern w:val="0"/>
          <w:sz w:val="32"/>
          <w:szCs w:val="32"/>
          <w:lang w:val="en-US" w:eastAsia="zh-CN" w:bidi="ar-SA"/>
        </w:rPr>
        <w:t>A级、B级、C级数据中心系统年可用率分别设定为≥99.99%、≥99.9%、≥99%</w:t>
      </w:r>
      <w:r>
        <w:rPr>
          <w:rFonts w:hint="eastAsia" w:ascii="仿宋_GB2312" w:hAnsi="仿宋" w:cs="仿宋"/>
          <w:b w:val="0"/>
          <w:bCs w:val="0"/>
          <w:snapToGrid w:val="0"/>
          <w:color w:val="000000"/>
          <w:spacing w:val="-14"/>
          <w:kern w:val="0"/>
          <w:sz w:val="32"/>
          <w:szCs w:val="32"/>
          <w:lang w:val="en-US" w:eastAsia="zh-CN" w:bidi="ar-SA"/>
        </w:rPr>
        <w:t>。</w:t>
      </w:r>
      <w:r>
        <w:rPr>
          <w:rFonts w:hint="eastAsia" w:ascii="仿宋_GB2312" w:hAnsi="仿宋" w:eastAsia="仿宋_GB2312" w:cs="仿宋"/>
          <w:b w:val="0"/>
          <w:bCs w:val="0"/>
          <w:snapToGrid w:val="0"/>
          <w:color w:val="000000"/>
          <w:spacing w:val="-14"/>
          <w:kern w:val="0"/>
          <w:sz w:val="32"/>
          <w:szCs w:val="32"/>
          <w:lang w:val="en-US" w:eastAsia="zh-CN" w:bidi="ar-SA"/>
        </w:rPr>
        <w:t>A级数据中心承载关键业务，供配电系统中断将造成重大损失，故要求最高；B级、C级依次放宽。系统内主要设备运行寿命≥10年，参照数据中心机电设备通常的设计使用年限和折旧周期确定，保证系统在全生命周期内的稳定运行。</w:t>
      </w:r>
    </w:p>
    <w:p w14:paraId="35C9442F">
      <w:pPr>
        <w:numPr>
          <w:ilvl w:val="0"/>
          <w:numId w:val="0"/>
        </w:numPr>
        <w:ind w:right="78" w:rightChars="0" w:firstLine="587" w:firstLineChars="200"/>
        <w:jc w:val="both"/>
        <w:rPr>
          <w:rFonts w:hint="eastAsia" w:ascii="仿宋_GB2312" w:hAnsi="仿宋" w:eastAsia="仿宋_GB2312" w:cs="仿宋"/>
          <w:b w:val="0"/>
          <w:bCs w:val="0"/>
          <w:snapToGrid w:val="0"/>
          <w:color w:val="000000"/>
          <w:spacing w:val="-14"/>
          <w:kern w:val="0"/>
          <w:sz w:val="32"/>
          <w:szCs w:val="32"/>
          <w:lang w:val="en-US" w:eastAsia="zh-CN" w:bidi="ar-SA"/>
        </w:rPr>
      </w:pPr>
      <w:r>
        <w:rPr>
          <w:rFonts w:hint="eastAsia" w:ascii="仿宋_GB2312" w:hAnsi="仿宋" w:eastAsia="仿宋_GB2312" w:cs="仿宋"/>
          <w:b/>
          <w:bCs/>
          <w:snapToGrid w:val="0"/>
          <w:color w:val="000000"/>
          <w:spacing w:val="-14"/>
          <w:kern w:val="0"/>
          <w:sz w:val="32"/>
          <w:szCs w:val="32"/>
          <w:lang w:val="en-US" w:eastAsia="zh-CN" w:bidi="ar-SA"/>
        </w:rPr>
        <w:t>系统实时性指标</w:t>
      </w:r>
      <w:r>
        <w:rPr>
          <w:rFonts w:hint="eastAsia" w:ascii="仿宋_GB2312" w:hAnsi="仿宋" w:eastAsia="仿宋_GB2312" w:cs="仿宋"/>
          <w:b w:val="0"/>
          <w:bCs w:val="0"/>
          <w:snapToGrid w:val="0"/>
          <w:color w:val="000000"/>
          <w:spacing w:val="-14"/>
          <w:kern w:val="0"/>
          <w:sz w:val="32"/>
          <w:szCs w:val="32"/>
          <w:lang w:val="en-US" w:eastAsia="zh-CN" w:bidi="ar-SA"/>
        </w:rPr>
        <w:t>。数据采集与传输环节的指标设定，主要参照电力监控系统行业通行做法对遥测、遥信、事件记录的技术要求，并结合数据中心配电系统故障快速定位的实际需要。遥信分辨率≤2ms、事件记录分辨率≤2ms（站内）的设定，是为保证断路器变位、保护动作等事件顺序记录</w:t>
      </w:r>
      <w:r>
        <w:rPr>
          <w:rFonts w:hint="eastAsia" w:ascii="仿宋_GB2312" w:hAnsi="仿宋" w:cs="仿宋"/>
          <w:b w:val="0"/>
          <w:bCs w:val="0"/>
          <w:snapToGrid w:val="0"/>
          <w:color w:val="000000"/>
          <w:spacing w:val="-14"/>
          <w:kern w:val="0"/>
          <w:sz w:val="32"/>
          <w:szCs w:val="32"/>
          <w:lang w:val="en-US" w:eastAsia="zh-CN" w:bidi="ar-SA"/>
        </w:rPr>
        <w:t>（</w:t>
      </w:r>
      <w:r>
        <w:rPr>
          <w:rFonts w:hint="eastAsia" w:ascii="仿宋_GB2312" w:hAnsi="仿宋" w:eastAsia="仿宋_GB2312" w:cs="仿宋"/>
          <w:b w:val="0"/>
          <w:bCs w:val="0"/>
          <w:snapToGrid w:val="0"/>
          <w:color w:val="000000"/>
          <w:spacing w:val="-14"/>
          <w:kern w:val="0"/>
          <w:sz w:val="32"/>
          <w:szCs w:val="32"/>
          <w:lang w:val="en-US" w:eastAsia="zh-CN" w:bidi="ar-SA"/>
        </w:rPr>
        <w:t>SOE）能够准确分辨，满足故障原因分析的时间精度要求。遥测时间总时间分辨率≤1s、遥信变位传送时间≤1s、重要遥测传送时间≤2s的设定，考虑数据中心配电系统运行状态变化的典型时间尺度和运维人员对故障响应的时效要求。系统呈现与刷新环节的指标设定，参照电力监控系统人机界面的通行响应时间要求，画面响应时间≤3s、画面调用时间≤3s，与同类电力监控系统的常规性能水平一致；画面数据刷新时间250ms～5s可调的设定，兼顾不同运维场景下对数据刷新频率的差异化需求；开关变位故障信息刷新时间≤3s，保证故障信息能够及时呈现给运维人员。</w:t>
      </w:r>
    </w:p>
    <w:p w14:paraId="5DE18FBB">
      <w:pPr>
        <w:numPr>
          <w:ilvl w:val="0"/>
          <w:numId w:val="0"/>
        </w:numPr>
        <w:ind w:right="78" w:rightChars="0" w:firstLine="587" w:firstLineChars="200"/>
        <w:jc w:val="both"/>
        <w:rPr>
          <w:rFonts w:hint="eastAsia" w:ascii="仿宋_GB2312" w:hAnsi="仿宋" w:cs="仿宋"/>
          <w:b w:val="0"/>
          <w:bCs w:val="0"/>
          <w:snapToGrid w:val="0"/>
          <w:color w:val="000000"/>
          <w:spacing w:val="-14"/>
          <w:kern w:val="0"/>
          <w:sz w:val="32"/>
          <w:szCs w:val="32"/>
          <w:lang w:val="en-US" w:eastAsia="zh-CN" w:bidi="ar-SA"/>
        </w:rPr>
      </w:pPr>
      <w:r>
        <w:rPr>
          <w:rFonts w:hint="eastAsia" w:ascii="仿宋_GB2312" w:hAnsi="仿宋" w:eastAsia="仿宋_GB2312" w:cs="仿宋"/>
          <w:b/>
          <w:bCs/>
          <w:snapToGrid w:val="0"/>
          <w:color w:val="000000"/>
          <w:spacing w:val="-14"/>
          <w:kern w:val="0"/>
          <w:sz w:val="32"/>
          <w:szCs w:val="32"/>
          <w:lang w:val="en-US" w:eastAsia="zh-CN" w:bidi="ar-SA"/>
        </w:rPr>
        <w:t>系统可靠性指标</w:t>
      </w:r>
      <w:r>
        <w:rPr>
          <w:rFonts w:hint="eastAsia" w:ascii="仿宋_GB2312" w:hAnsi="仿宋" w:eastAsia="仿宋_GB2312" w:cs="仿宋"/>
          <w:b w:val="0"/>
          <w:bCs w:val="0"/>
          <w:snapToGrid w:val="0"/>
          <w:color w:val="000000"/>
          <w:spacing w:val="-14"/>
          <w:kern w:val="0"/>
          <w:sz w:val="32"/>
          <w:szCs w:val="32"/>
          <w:lang w:val="en-US" w:eastAsia="zh-CN" w:bidi="ar-SA"/>
        </w:rPr>
        <w:t>。主设备平均无故障时间≥50000h，与可用性指标形成对应关系，参照电力监控系统及工业自动化系统主设备的典型可靠性水平确定。装置平均无故障时间</w:t>
      </w:r>
      <w:r>
        <w:rPr>
          <w:rFonts w:hint="eastAsia" w:ascii="仿宋_GB2312" w:hAnsi="仿宋" w:cs="仿宋"/>
          <w:b w:val="0"/>
          <w:bCs w:val="0"/>
          <w:snapToGrid w:val="0"/>
          <w:color w:val="000000"/>
          <w:spacing w:val="-14"/>
          <w:kern w:val="0"/>
          <w:sz w:val="32"/>
          <w:szCs w:val="32"/>
          <w:lang w:val="en-US" w:eastAsia="zh-CN" w:bidi="ar-SA"/>
        </w:rPr>
        <w:t>为</w:t>
      </w:r>
      <w:r>
        <w:rPr>
          <w:rFonts w:hint="eastAsia" w:ascii="仿宋_GB2312" w:hAnsi="仿宋" w:eastAsia="仿宋_GB2312" w:cs="仿宋"/>
          <w:b w:val="0"/>
          <w:bCs w:val="0"/>
          <w:snapToGrid w:val="0"/>
          <w:color w:val="000000"/>
          <w:spacing w:val="-14"/>
          <w:kern w:val="0"/>
          <w:sz w:val="32"/>
          <w:szCs w:val="32"/>
          <w:lang w:val="en-US" w:eastAsia="zh-CN" w:bidi="ar-SA"/>
        </w:rPr>
        <w:t>100000h，参照智能测控装置行业通用可靠性指标确定。遥测合格率≥99.9%、遥信正确率≥99.99%、事件记录正确率100%，参照电力监控系统行业通行水平设定，其中遥信正确率和事件记录正确率要求高于遥测合格率，是因为遥信和事件记录直接关系到故障判断和事故追溯的准确性，需保证更高的可信度</w:t>
      </w:r>
      <w:r>
        <w:rPr>
          <w:rFonts w:hint="eastAsia" w:ascii="仿宋_GB2312" w:hAnsi="仿宋" w:cs="仿宋"/>
          <w:b w:val="0"/>
          <w:bCs w:val="0"/>
          <w:snapToGrid w:val="0"/>
          <w:color w:val="000000"/>
          <w:spacing w:val="-14"/>
          <w:kern w:val="0"/>
          <w:sz w:val="32"/>
          <w:szCs w:val="32"/>
          <w:lang w:val="en-US" w:eastAsia="zh-CN" w:bidi="ar-SA"/>
        </w:rPr>
        <w:t>。</w:t>
      </w:r>
    </w:p>
    <w:p w14:paraId="51F6E84A">
      <w:pPr>
        <w:numPr>
          <w:ilvl w:val="0"/>
          <w:numId w:val="0"/>
        </w:numPr>
        <w:ind w:right="78" w:rightChars="0" w:firstLine="587" w:firstLineChars="200"/>
        <w:jc w:val="both"/>
        <w:rPr>
          <w:rFonts w:hint="eastAsia" w:ascii="仿宋_GB2312" w:hAnsi="仿宋" w:cs="仿宋"/>
          <w:b w:val="0"/>
          <w:bCs w:val="0"/>
          <w:snapToGrid w:val="0"/>
          <w:color w:val="000000"/>
          <w:spacing w:val="-14"/>
          <w:kern w:val="0"/>
          <w:sz w:val="32"/>
          <w:szCs w:val="32"/>
          <w:lang w:val="en-US" w:eastAsia="zh-CN" w:bidi="ar-SA"/>
        </w:rPr>
      </w:pPr>
      <w:r>
        <w:rPr>
          <w:rFonts w:hint="eastAsia" w:ascii="仿宋_GB2312" w:hAnsi="仿宋" w:cs="仿宋"/>
          <w:b/>
          <w:bCs/>
          <w:snapToGrid w:val="0"/>
          <w:color w:val="000000"/>
          <w:spacing w:val="-14"/>
          <w:kern w:val="0"/>
          <w:sz w:val="32"/>
          <w:szCs w:val="32"/>
          <w:lang w:val="en-US" w:eastAsia="zh-CN" w:bidi="ar-SA"/>
        </w:rPr>
        <w:t>系统资源指标</w:t>
      </w:r>
      <w:r>
        <w:rPr>
          <w:rFonts w:hint="eastAsia" w:ascii="仿宋_GB2312" w:hAnsi="仿宋" w:cs="仿宋"/>
          <w:b w:val="0"/>
          <w:bCs w:val="0"/>
          <w:snapToGrid w:val="0"/>
          <w:color w:val="000000"/>
          <w:spacing w:val="-14"/>
          <w:kern w:val="0"/>
          <w:sz w:val="32"/>
          <w:szCs w:val="32"/>
          <w:lang w:val="en-US" w:eastAsia="zh-CN" w:bidi="ar-SA"/>
        </w:rPr>
        <w:t>。CPU负载率正常时≤50%，参照工业监控系统通常预留50%资源余量的设计惯例确定，保证系统在正常运行时具备应对突发计算需求的能力。计算机CPU负荷率≤40%、故障时（10s内）≤60%，参照电力监控系统相关标准对计算机负荷率的要求，故障时允许短时上升但需在可控范围内，防止因资源耗尽导致系统崩溃。以太网速率10/100M自适应，参照工业以太网通信设备的通用配置要求确定，满足数据中心配电监控系统数据通信的带宽需求。</w:t>
      </w:r>
    </w:p>
    <w:p w14:paraId="0C6E48A5">
      <w:pPr>
        <w:pStyle w:val="4"/>
        <w:ind w:firstLine="643"/>
        <w:rPr>
          <w:rFonts w:hint="default"/>
          <w:lang w:val="en-US" w:eastAsia="zh-CN"/>
        </w:rPr>
      </w:pPr>
      <w:r>
        <w:rPr>
          <w:lang w:eastAsia="zh-CN"/>
        </w:rPr>
        <w:t>4.</w:t>
      </w:r>
      <w:r>
        <w:rPr>
          <w:rFonts w:hint="eastAsia"/>
          <w:lang w:eastAsia="zh-CN"/>
        </w:rPr>
        <w:t>第8章</w:t>
      </w:r>
      <w:r>
        <w:rPr>
          <w:rFonts w:hint="eastAsia"/>
          <w:lang w:val="en-US" w:eastAsia="zh-CN"/>
        </w:rPr>
        <w:t xml:space="preserve"> 安全防护</w:t>
      </w:r>
    </w:p>
    <w:p w14:paraId="7DE59C4F">
      <w:pPr>
        <w:ind w:right="78" w:firstLine="587"/>
        <w:jc w:val="both"/>
        <w:rPr>
          <w:rFonts w:ascii="仿宋_GB2312" w:hAnsi="仿宋" w:cs="仿宋"/>
          <w:b/>
          <w:bCs/>
          <w:spacing w:val="-14"/>
          <w:szCs w:val="32"/>
          <w:lang w:eastAsia="zh-CN"/>
        </w:rPr>
      </w:pPr>
      <w:r>
        <w:rPr>
          <w:rFonts w:hint="eastAsia" w:ascii="仿宋_GB2312" w:hAnsi="仿宋" w:cs="仿宋"/>
          <w:b/>
          <w:bCs/>
          <w:spacing w:val="-14"/>
          <w:szCs w:val="32"/>
          <w:lang w:eastAsia="zh-CN"/>
        </w:rPr>
        <w:t>（1）主要内容</w:t>
      </w:r>
    </w:p>
    <w:p w14:paraId="0BB11C18">
      <w:pPr>
        <w:ind w:right="78" w:firstLine="584"/>
        <w:jc w:val="both"/>
        <w:rPr>
          <w:rFonts w:hint="eastAsia" w:ascii="仿宋_GB2312" w:hAnsi="仿宋" w:cs="仿宋"/>
          <w:spacing w:val="-14"/>
          <w:szCs w:val="32"/>
          <w:lang w:eastAsia="zh-CN"/>
        </w:rPr>
      </w:pPr>
      <w:r>
        <w:rPr>
          <w:rFonts w:hint="eastAsia" w:ascii="仿宋_GB2312" w:hAnsi="仿宋" w:cs="仿宋"/>
          <w:spacing w:val="-14"/>
          <w:szCs w:val="32"/>
          <w:lang w:eastAsia="zh-CN"/>
        </w:rPr>
        <w:t>规定了数据中心智能配电监控系统在设备安全、网络安全和数据安全三个方面的防护要求。</w:t>
      </w:r>
    </w:p>
    <w:p w14:paraId="6189EAFA">
      <w:pPr>
        <w:numPr>
          <w:ilvl w:val="0"/>
          <w:numId w:val="0"/>
        </w:numPr>
        <w:ind w:leftChars="200" w:right="78" w:rightChars="0"/>
        <w:jc w:val="both"/>
        <w:rPr>
          <w:rFonts w:hint="eastAsia" w:ascii="仿宋_GB2312" w:hAnsi="仿宋" w:cs="仿宋"/>
          <w:b/>
          <w:bCs/>
          <w:spacing w:val="-14"/>
          <w:szCs w:val="32"/>
          <w:lang w:eastAsia="zh-CN"/>
        </w:rPr>
      </w:pPr>
      <w:r>
        <w:rPr>
          <w:rFonts w:hint="eastAsia" w:ascii="仿宋_GB2312" w:hAnsi="仿宋" w:cs="仿宋"/>
          <w:b/>
          <w:bCs/>
          <w:spacing w:val="-14"/>
          <w:szCs w:val="32"/>
          <w:lang w:eastAsia="zh-CN"/>
        </w:rPr>
        <w:t>（</w:t>
      </w:r>
      <w:r>
        <w:rPr>
          <w:rFonts w:hint="eastAsia" w:ascii="仿宋_GB2312" w:hAnsi="仿宋" w:cs="仿宋"/>
          <w:b/>
          <w:bCs/>
          <w:spacing w:val="-14"/>
          <w:szCs w:val="32"/>
          <w:lang w:val="en-US" w:eastAsia="zh-CN"/>
        </w:rPr>
        <w:t>2</w:t>
      </w:r>
      <w:r>
        <w:rPr>
          <w:rFonts w:hint="eastAsia" w:ascii="仿宋_GB2312" w:hAnsi="仿宋" w:cs="仿宋"/>
          <w:b/>
          <w:bCs/>
          <w:spacing w:val="-14"/>
          <w:szCs w:val="32"/>
          <w:lang w:eastAsia="zh-CN"/>
        </w:rPr>
        <w:t>）相关说明</w:t>
      </w:r>
    </w:p>
    <w:p w14:paraId="0032F4B1">
      <w:pPr>
        <w:ind w:right="78" w:firstLine="584"/>
        <w:jc w:val="both"/>
        <w:rPr>
          <w:rFonts w:hint="eastAsia" w:ascii="仿宋_GB2312" w:hAnsi="仿宋" w:cs="仿宋"/>
          <w:spacing w:val="-14"/>
          <w:szCs w:val="32"/>
          <w:lang w:eastAsia="zh-CN"/>
        </w:rPr>
      </w:pPr>
      <w:r>
        <w:rPr>
          <w:rFonts w:hint="eastAsia" w:ascii="仿宋_GB2312" w:hAnsi="仿宋" w:cs="仿宋"/>
          <w:b/>
          <w:bCs/>
          <w:spacing w:val="-14"/>
          <w:szCs w:val="32"/>
          <w:lang w:eastAsia="zh-CN"/>
        </w:rPr>
        <w:t>设备安全要求</w:t>
      </w:r>
      <w:r>
        <w:rPr>
          <w:rFonts w:hint="eastAsia" w:ascii="仿宋_GB2312" w:hAnsi="仿宋" w:cs="仿宋"/>
          <w:spacing w:val="-14"/>
          <w:szCs w:val="32"/>
          <w:lang w:eastAsia="zh-CN"/>
        </w:rPr>
        <w:t>。中压开关柜、低压开关柜外壳防护等级的设定，主要依据GB/T 4208《外壳防护等级（IP代码）》的分级定义，并结合数据中心配电室环境对固体异物和灰尘防护的实际需要确定；母线槽防护等级及排水孔设计，参照母线槽产品行业标准及数据中心母线安装环境要求确定；现场设备自检、联机诊断校验和故障告警功能及关键设备带电插拔或模块化更换要求，参照电力监控系统设备相关标准确定，保证设备故障时能够快速发现和更换；通信线缆采用低烟无卤阻燃铜芯电缆，参照GB 50174《数据中心设计规范》对线缆防火安全的规定确定。</w:t>
      </w:r>
    </w:p>
    <w:p w14:paraId="6EAD4ECE">
      <w:pPr>
        <w:ind w:right="78" w:firstLine="584"/>
        <w:jc w:val="both"/>
        <w:rPr>
          <w:rFonts w:hint="eastAsia" w:ascii="仿宋_GB2312" w:hAnsi="仿宋" w:cs="仿宋"/>
          <w:spacing w:val="-14"/>
          <w:szCs w:val="32"/>
          <w:lang w:eastAsia="zh-CN"/>
        </w:rPr>
      </w:pPr>
      <w:r>
        <w:rPr>
          <w:rFonts w:hint="eastAsia" w:ascii="仿宋_GB2312" w:hAnsi="仿宋" w:cs="仿宋"/>
          <w:b/>
          <w:bCs/>
          <w:spacing w:val="-14"/>
          <w:szCs w:val="32"/>
          <w:lang w:eastAsia="zh-CN"/>
        </w:rPr>
        <w:t>网络安全要求</w:t>
      </w:r>
      <w:r>
        <w:rPr>
          <w:rFonts w:hint="eastAsia" w:ascii="仿宋_GB2312" w:hAnsi="仿宋" w:cs="仿宋"/>
          <w:spacing w:val="-14"/>
          <w:szCs w:val="32"/>
          <w:lang w:eastAsia="zh-CN"/>
        </w:rPr>
        <w:t>。双网冗余架构、多协议并发通信、网关超时和重试机制等要求，参照GB/T 36572《电力监控系统网络安全防护导则》、DL/T 2335《电力监控系统网络安全防护技术导则》及行业通行做法确定，保证通信链路的可靠性和兼容性；边界防护、远程访问加密、端口和服务管理、安全漏洞扫描等要求，参照GB/T 22239《信息安全技术网络安全等级保护基本要求》对网络安全管理的规定确定。</w:t>
      </w:r>
    </w:p>
    <w:p w14:paraId="2A5E3DAA">
      <w:pPr>
        <w:ind w:right="78" w:firstLine="584"/>
        <w:jc w:val="both"/>
        <w:rPr>
          <w:rFonts w:hint="eastAsia" w:ascii="仿宋_GB2312" w:hAnsi="仿宋" w:cs="仿宋"/>
          <w:spacing w:val="-14"/>
          <w:szCs w:val="32"/>
          <w:lang w:eastAsia="zh-CN"/>
        </w:rPr>
      </w:pPr>
      <w:r>
        <w:rPr>
          <w:rFonts w:hint="eastAsia" w:ascii="仿宋_GB2312" w:hAnsi="仿宋" w:cs="仿宋"/>
          <w:b/>
          <w:bCs/>
          <w:spacing w:val="-14"/>
          <w:szCs w:val="32"/>
          <w:lang w:eastAsia="zh-CN"/>
        </w:rPr>
        <w:t>数据安全要求</w:t>
      </w:r>
      <w:r>
        <w:rPr>
          <w:rFonts w:hint="eastAsia" w:ascii="仿宋_GB2312" w:hAnsi="仿宋" w:cs="仿宋"/>
          <w:spacing w:val="-14"/>
          <w:szCs w:val="32"/>
          <w:lang w:eastAsia="zh-CN"/>
        </w:rPr>
        <w:t>。数据库维护、同步、备份和恢复功能要求，数据唯一性和一致性要求，备份策略配置和恢复演练要求，敏感数据加密要求，均参照GB/T 22239《信息安全技术网络安全等级保护基本要求》对数据完整性、可用性和保密性的规定确定，保证数据在发生故障或灾难时能够及时恢复，防止数据被窃取或篡改。</w:t>
      </w:r>
    </w:p>
    <w:p w14:paraId="696FEACA">
      <w:pPr>
        <w:pStyle w:val="4"/>
        <w:ind w:firstLine="643"/>
        <w:rPr>
          <w:rFonts w:hint="default"/>
          <w:lang w:val="en-US" w:eastAsia="zh-CN"/>
        </w:rPr>
      </w:pPr>
      <w:r>
        <w:rPr>
          <w:lang w:eastAsia="zh-CN"/>
        </w:rPr>
        <w:t>5.</w:t>
      </w:r>
      <w:r>
        <w:rPr>
          <w:rFonts w:hint="eastAsia"/>
          <w:lang w:eastAsia="zh-CN"/>
        </w:rPr>
        <w:t>第9章</w:t>
      </w:r>
      <w:r>
        <w:rPr>
          <w:rFonts w:hint="eastAsia"/>
          <w:lang w:val="en-US" w:eastAsia="zh-CN"/>
        </w:rPr>
        <w:t xml:space="preserve"> 运维管理</w:t>
      </w:r>
    </w:p>
    <w:p w14:paraId="058F3934">
      <w:pPr>
        <w:ind w:right="78" w:firstLine="587"/>
        <w:jc w:val="both"/>
        <w:rPr>
          <w:rFonts w:ascii="仿宋_GB2312" w:hAnsi="仿宋" w:cs="仿宋"/>
          <w:b/>
          <w:bCs/>
          <w:spacing w:val="-14"/>
          <w:szCs w:val="32"/>
          <w:lang w:eastAsia="zh-CN"/>
        </w:rPr>
      </w:pPr>
      <w:r>
        <w:rPr>
          <w:rFonts w:hint="eastAsia" w:ascii="仿宋_GB2312" w:hAnsi="仿宋" w:cs="仿宋"/>
          <w:b/>
          <w:bCs/>
          <w:spacing w:val="-14"/>
          <w:szCs w:val="32"/>
          <w:lang w:eastAsia="zh-CN"/>
        </w:rPr>
        <w:t>（1）主要内容</w:t>
      </w:r>
    </w:p>
    <w:p w14:paraId="62922FFE">
      <w:pPr>
        <w:ind w:right="78" w:firstLine="584"/>
        <w:jc w:val="both"/>
        <w:rPr>
          <w:rFonts w:ascii="仿宋_GB2312" w:hAnsi="仿宋" w:cs="仿宋"/>
          <w:spacing w:val="-14"/>
          <w:szCs w:val="32"/>
          <w:lang w:eastAsia="zh-CN"/>
        </w:rPr>
      </w:pPr>
      <w:r>
        <w:rPr>
          <w:rFonts w:hint="eastAsia" w:ascii="仿宋_GB2312" w:hAnsi="仿宋" w:cs="仿宋"/>
          <w:spacing w:val="-14"/>
          <w:szCs w:val="32"/>
          <w:lang w:eastAsia="zh-CN"/>
        </w:rPr>
        <w:t>规定了数据中心智能配电监控系统的日常维护、故障处理和优化升级要求。</w:t>
      </w:r>
    </w:p>
    <w:p w14:paraId="1D4814A4">
      <w:pPr>
        <w:ind w:right="78" w:firstLine="587"/>
        <w:jc w:val="both"/>
        <w:rPr>
          <w:rFonts w:ascii="仿宋_GB2312" w:hAnsi="仿宋" w:cs="仿宋"/>
          <w:b/>
          <w:bCs/>
          <w:spacing w:val="-14"/>
          <w:szCs w:val="32"/>
          <w:lang w:eastAsia="zh-CN"/>
        </w:rPr>
      </w:pPr>
      <w:r>
        <w:rPr>
          <w:rFonts w:hint="eastAsia" w:ascii="仿宋_GB2312" w:hAnsi="仿宋" w:cs="仿宋"/>
          <w:b/>
          <w:bCs/>
          <w:spacing w:val="-14"/>
          <w:szCs w:val="32"/>
          <w:lang w:eastAsia="zh-CN"/>
        </w:rPr>
        <w:t>（2）相关说明</w:t>
      </w:r>
    </w:p>
    <w:p w14:paraId="5E6D35F9">
      <w:pPr>
        <w:ind w:right="78" w:firstLine="584"/>
        <w:jc w:val="both"/>
        <w:rPr>
          <w:rFonts w:hint="eastAsia" w:ascii="仿宋_GB2312" w:hAnsi="仿宋" w:cs="仿宋"/>
          <w:spacing w:val="-14"/>
          <w:szCs w:val="32"/>
          <w:lang w:eastAsia="zh-CN"/>
        </w:rPr>
      </w:pPr>
      <w:r>
        <w:rPr>
          <w:rFonts w:hint="eastAsia" w:ascii="仿宋_GB2312" w:hAnsi="仿宋" w:cs="仿宋"/>
          <w:spacing w:val="-14"/>
          <w:szCs w:val="32"/>
          <w:lang w:eastAsia="zh-CN"/>
        </w:rPr>
        <w:t>当前数据中心智能配电监控系统在运维管理方面缺乏统一规范，运维水平参差不齐，故障响应和处置效率难以保证，需对日常维护、故障处理和优化升级提出统一要求。各项要求的来源和设定依据如下：</w:t>
      </w:r>
    </w:p>
    <w:p w14:paraId="5333FF89">
      <w:pPr>
        <w:ind w:right="78" w:firstLine="584"/>
        <w:jc w:val="both"/>
        <w:rPr>
          <w:rFonts w:hint="eastAsia" w:ascii="仿宋_GB2312" w:hAnsi="仿宋" w:cs="仿宋"/>
          <w:spacing w:val="-14"/>
          <w:szCs w:val="32"/>
          <w:lang w:eastAsia="zh-CN"/>
        </w:rPr>
      </w:pPr>
      <w:r>
        <w:rPr>
          <w:rFonts w:hint="eastAsia" w:ascii="仿宋_GB2312" w:hAnsi="仿宋" w:cs="仿宋"/>
          <w:b/>
          <w:bCs/>
          <w:spacing w:val="-14"/>
          <w:szCs w:val="32"/>
          <w:lang w:eastAsia="zh-CN"/>
        </w:rPr>
        <w:t>日常维护要求</w:t>
      </w:r>
      <w:r>
        <w:rPr>
          <w:rFonts w:hint="eastAsia" w:ascii="仿宋_GB2312" w:hAnsi="仿宋" w:cs="仿宋"/>
          <w:spacing w:val="-14"/>
          <w:szCs w:val="32"/>
          <w:lang w:eastAsia="zh-CN"/>
        </w:rPr>
        <w:t>。维护周期主要依据数据中心配电系统运维管理的实际需要和各类设备的故障发生规律确定，</w:t>
      </w:r>
      <w:r>
        <w:rPr>
          <w:rFonts w:hint="eastAsia" w:ascii="仿宋_GB2312" w:hAnsi="仿宋" w:cs="仿宋"/>
          <w:spacing w:val="-14"/>
          <w:szCs w:val="32"/>
          <w:lang w:val="en-US" w:eastAsia="zh-CN"/>
        </w:rPr>
        <w:t>并</w:t>
      </w:r>
      <w:r>
        <w:rPr>
          <w:rFonts w:hint="eastAsia" w:ascii="仿宋_GB2312" w:hAnsi="仿宋" w:cs="仿宋"/>
          <w:spacing w:val="-14"/>
          <w:szCs w:val="32"/>
          <w:lang w:eastAsia="zh-CN"/>
        </w:rPr>
        <w:t>建立运维记录制度，参照数据中心运维管理的通行做法确定，保证运维过程的可追溯性。</w:t>
      </w:r>
    </w:p>
    <w:p w14:paraId="0272DFA1">
      <w:pPr>
        <w:ind w:right="78" w:firstLine="584"/>
        <w:jc w:val="both"/>
        <w:rPr>
          <w:rFonts w:hint="eastAsia" w:ascii="仿宋_GB2312" w:hAnsi="仿宋" w:cs="仿宋"/>
          <w:spacing w:val="-14"/>
          <w:szCs w:val="32"/>
          <w:lang w:eastAsia="zh-CN"/>
        </w:rPr>
      </w:pPr>
      <w:r>
        <w:rPr>
          <w:rFonts w:hint="eastAsia" w:ascii="仿宋_GB2312" w:hAnsi="仿宋" w:cs="仿宋"/>
          <w:b/>
          <w:bCs/>
          <w:spacing w:val="-14"/>
          <w:szCs w:val="32"/>
          <w:lang w:eastAsia="zh-CN"/>
        </w:rPr>
        <w:t>故障处理要求</w:t>
      </w:r>
      <w:r>
        <w:rPr>
          <w:rFonts w:hint="eastAsia" w:ascii="仿宋_GB2312" w:hAnsi="仿宋" w:cs="仿宋"/>
          <w:spacing w:val="-14"/>
          <w:szCs w:val="32"/>
          <w:lang w:eastAsia="zh-CN"/>
        </w:rPr>
        <w:t>。故障分级主要考虑故障对数据中心配电系统运行的影响程度，一级故障直接影响配电系统正常运行，二级故障影响范围可控但不影响整体运行，三级故障仅影响单一用户或单个设备。故障响应与恢复时间参照数据中心关键业务对供配电监控系统可用性的要求和运维管理的通行做法确定，保证故障得到及时有效处置。故障处理记录要求参照数据中心运维管理对故障追溯和知识积累的要求确定。</w:t>
      </w:r>
    </w:p>
    <w:p w14:paraId="3C2BE183">
      <w:pPr>
        <w:ind w:right="78" w:firstLine="584"/>
        <w:jc w:val="both"/>
        <w:rPr>
          <w:rFonts w:hint="eastAsia" w:ascii="仿宋_GB2312" w:hAnsi="仿宋" w:cs="仿宋"/>
          <w:spacing w:val="-14"/>
          <w:szCs w:val="32"/>
          <w:lang w:eastAsia="zh-CN"/>
        </w:rPr>
      </w:pPr>
      <w:r>
        <w:rPr>
          <w:rFonts w:hint="eastAsia" w:ascii="仿宋_GB2312" w:hAnsi="仿宋" w:cs="仿宋"/>
          <w:b/>
          <w:bCs/>
          <w:spacing w:val="-14"/>
          <w:szCs w:val="32"/>
          <w:lang w:eastAsia="zh-CN"/>
        </w:rPr>
        <w:t>优化升级要求</w:t>
      </w:r>
      <w:r>
        <w:rPr>
          <w:rFonts w:hint="eastAsia" w:ascii="仿宋_GB2312" w:hAnsi="仿宋" w:cs="仿宋"/>
          <w:spacing w:val="-14"/>
          <w:szCs w:val="32"/>
          <w:lang w:eastAsia="zh-CN"/>
        </w:rPr>
        <w:t>。软件升级前进行数据备份、升级后开展测试验证、形成升级记录和回退方案等要求，参照数据中心信息系统变更管理和质量管理的要求确定；硬件扩展不影响现有系统结构的要求，参照电力监控系统模块化设计和可扩展性的要求确定，保证系统在升级和扩展过程中的稳定运行。</w:t>
      </w:r>
    </w:p>
    <w:p w14:paraId="4C334A76">
      <w:pPr>
        <w:pStyle w:val="2"/>
        <w:ind w:firstLine="640"/>
        <w:rPr>
          <w:lang w:eastAsia="zh-CN"/>
        </w:rPr>
      </w:pPr>
      <w:r>
        <w:rPr>
          <w:lang w:eastAsia="zh-CN"/>
        </w:rPr>
        <w:t>五、标准应用和预期意义</w:t>
      </w:r>
    </w:p>
    <w:p w14:paraId="7E89A298">
      <w:pPr>
        <w:pStyle w:val="3"/>
        <w:ind w:firstLine="640"/>
        <w:rPr>
          <w:rFonts w:hint="eastAsia"/>
          <w:lang w:eastAsia="zh-CN"/>
        </w:rPr>
      </w:pPr>
      <w:r>
        <w:rPr>
          <w:rFonts w:hint="eastAsia"/>
          <w:lang w:eastAsia="zh-CN"/>
        </w:rPr>
        <w:t>（一）标准应用</w:t>
      </w:r>
    </w:p>
    <w:p w14:paraId="662DE115">
      <w:pPr>
        <w:rPr>
          <w:rFonts w:hint="eastAsia"/>
          <w:lang w:eastAsia="zh-CN"/>
        </w:rPr>
      </w:pPr>
      <w:r>
        <w:rPr>
          <w:rFonts w:hint="eastAsia"/>
          <w:lang w:eastAsia="zh-CN"/>
        </w:rPr>
        <w:t>本标准的适用对象为面向数据中心场景的智能配电监控系统，涵盖系统提供商、配电监控解决方案集成商、数据中心建设与运营企业等。标准应用范围包括系统的架构设计、产品研发、系统集成、选型采购以及验收评估等环节。</w:t>
      </w:r>
    </w:p>
    <w:p w14:paraId="79EE2F30">
      <w:pPr>
        <w:rPr>
          <w:rFonts w:hint="eastAsia"/>
          <w:lang w:eastAsia="zh-CN"/>
        </w:rPr>
      </w:pPr>
      <w:r>
        <w:rPr>
          <w:rFonts w:hint="eastAsia"/>
          <w:lang w:eastAsia="zh-CN"/>
        </w:rPr>
        <w:t>基于本标准，系统提供商可按照统一的分层分布式架构模型进行产品规划和研发，提升产品的规范性与竞争力；系统集成商可依据标准进行多设备、多协议、多系统的高效集成，降低集成成本与沟通成本；数据中心建设与运营企业可根据标准进行系统选型评估，确保所选系统满足数据中心配电监控的安全性、可靠性和可运维性需求；第三方测评机构可依据标准开展系统产品的符合性测试与评估。</w:t>
      </w:r>
    </w:p>
    <w:p w14:paraId="59FB356A">
      <w:pPr>
        <w:rPr>
          <w:rFonts w:hint="eastAsia"/>
          <w:lang w:eastAsia="zh-CN"/>
        </w:rPr>
      </w:pPr>
      <w:r>
        <w:rPr>
          <w:rFonts w:hint="eastAsia"/>
          <w:lang w:eastAsia="zh-CN"/>
        </w:rPr>
        <w:t>标准编制团队涵盖配电设备制造企业、电力监控系统集成企业、工业通信网关与网络设备企业、数据中心运营企业等各个方面，为标准落地实施提供了组织保障：</w:t>
      </w:r>
    </w:p>
    <w:p w14:paraId="644E1321">
      <w:pPr>
        <w:rPr>
          <w:rFonts w:hint="eastAsia"/>
          <w:lang w:eastAsia="zh-CN"/>
        </w:rPr>
      </w:pPr>
      <w:r>
        <w:rPr>
          <w:rFonts w:hint="eastAsia"/>
          <w:lang w:eastAsia="zh-CN"/>
        </w:rPr>
        <w:t>一是在标准研制过程中，已在部分参编单位的典型配电监控产品和数据中心示范项目中进行了技术条款的适用性验证，充分吸收了一线工程经验；</w:t>
      </w:r>
    </w:p>
    <w:p w14:paraId="4D8B82A1">
      <w:pPr>
        <w:rPr>
          <w:rFonts w:hint="eastAsia"/>
          <w:lang w:eastAsia="zh-CN"/>
        </w:rPr>
      </w:pPr>
      <w:r>
        <w:rPr>
          <w:rFonts w:hint="eastAsia"/>
          <w:lang w:eastAsia="zh-CN"/>
        </w:rPr>
        <w:t>二是在标准发布实施后，将在标准起草单位内率先开展应用示范，并通过标准宣贯培训、实施指南编制等方式推进更大范围的应用推广；</w:t>
      </w:r>
    </w:p>
    <w:p w14:paraId="2336592A">
      <w:pPr>
        <w:rPr>
          <w:rFonts w:hint="eastAsia"/>
          <w:lang w:eastAsia="zh-CN"/>
        </w:rPr>
      </w:pPr>
      <w:r>
        <w:rPr>
          <w:rFonts w:hint="eastAsia"/>
          <w:lang w:eastAsia="zh-CN"/>
        </w:rPr>
        <w:t>三是将依托协会平台，联合相关检测认证机构，依据本标准开展数据中心智能配电监控系统的符合性评估和能力成熟度评价，为行业提供可信赖的参考依据。</w:t>
      </w:r>
    </w:p>
    <w:p w14:paraId="5DE7EAC5">
      <w:pPr>
        <w:pStyle w:val="3"/>
        <w:numPr>
          <w:ilvl w:val="0"/>
          <w:numId w:val="2"/>
        </w:numPr>
        <w:ind w:firstLine="640"/>
        <w:rPr>
          <w:rFonts w:hint="eastAsia"/>
          <w:lang w:eastAsia="zh-CN"/>
        </w:rPr>
      </w:pPr>
      <w:r>
        <w:rPr>
          <w:rFonts w:hint="eastAsia"/>
          <w:lang w:eastAsia="zh-CN"/>
        </w:rPr>
        <w:t>预期意义</w:t>
      </w:r>
    </w:p>
    <w:p w14:paraId="6164B6A6">
      <w:pPr>
        <w:numPr>
          <w:ilvl w:val="0"/>
          <w:numId w:val="0"/>
        </w:numPr>
        <w:ind w:firstLine="640" w:firstLineChars="200"/>
        <w:rPr>
          <w:rFonts w:hint="eastAsia"/>
          <w:lang w:eastAsia="zh-CN"/>
        </w:rPr>
      </w:pPr>
      <w:r>
        <w:rPr>
          <w:rFonts w:hint="eastAsia"/>
          <w:lang w:eastAsia="zh-CN"/>
        </w:rPr>
        <w:t>一是统一架构共识。通过明确数据中心智能配电监控系统的四层参考架构（现场设备层、通信网络层、监控服务层、客户端访问层）和各层级功能边界，解决当前系统建设“各自为政”、架构差异大、功能交叉重叠等突出问题，为行业提供统一的架构参考，推动形成健康有序的产业生态。通过规范通信协议、数据接口和安全防护的要求，推动系统在不同设备、不同场景下的互联互通和数据共享，切实破除“信息孤岛”，支撑跨系统、跨厂区、跨层级的配电协同监控。</w:t>
      </w:r>
    </w:p>
    <w:p w14:paraId="13A912DF">
      <w:pPr>
        <w:numPr>
          <w:ilvl w:val="0"/>
          <w:numId w:val="0"/>
        </w:numPr>
        <w:ind w:firstLine="640" w:firstLineChars="200"/>
        <w:rPr>
          <w:rFonts w:hint="eastAsia"/>
          <w:lang w:eastAsia="zh-CN"/>
        </w:rPr>
      </w:pPr>
      <w:r>
        <w:rPr>
          <w:rFonts w:hint="eastAsia"/>
          <w:lang w:eastAsia="zh-CN"/>
        </w:rPr>
        <w:t>二是支撑数据中心高质量发展。为数据中心开展智能配电监控系统建设与选型提供技术依据，帮助企业科学规划供配电数字化转型升</w:t>
      </w:r>
      <w:bookmarkStart w:id="0" w:name="_GoBack"/>
      <w:bookmarkEnd w:id="0"/>
      <w:r>
        <w:rPr>
          <w:rFonts w:hint="eastAsia"/>
          <w:lang w:eastAsia="zh-CN"/>
        </w:rPr>
        <w:t>级路径，提升配电系统投资效益，为推进A/B/C级数据中心、智能工厂和“未来工厂”建设提供标准支撑。</w:t>
      </w:r>
    </w:p>
    <w:p w14:paraId="31366B5D">
      <w:pPr>
        <w:numPr>
          <w:ilvl w:val="0"/>
          <w:numId w:val="0"/>
        </w:numPr>
        <w:ind w:firstLine="640" w:firstLineChars="200"/>
        <w:rPr>
          <w:rFonts w:hint="eastAsia"/>
          <w:lang w:eastAsia="zh-CN"/>
        </w:rPr>
      </w:pPr>
      <w:r>
        <w:rPr>
          <w:rFonts w:hint="eastAsia"/>
          <w:lang w:eastAsia="zh-CN"/>
        </w:rPr>
        <w:t>三是促进产业协同与国际对接。以兼容国际主流电力监控与工业物联网架构模型为基础，推动国内数据中心智能配电监控系统与国际标准体系的衔接，为我国数据中心解决方案走向全球市场提供标准语言和技术基础，助力我省及我国数据中心产业高质量发展。</w:t>
      </w:r>
    </w:p>
    <w:p w14:paraId="41F1D2B5">
      <w:pPr>
        <w:pStyle w:val="2"/>
        <w:ind w:firstLine="640"/>
        <w:rPr>
          <w:lang w:eastAsia="zh-CN"/>
        </w:rPr>
      </w:pPr>
      <w:r>
        <w:rPr>
          <w:rFonts w:hint="eastAsia"/>
          <w:lang w:eastAsia="zh-CN"/>
        </w:rPr>
        <w:t>六、标准性质</w:t>
      </w:r>
    </w:p>
    <w:p w14:paraId="6EF5EC08">
      <w:pPr>
        <w:ind w:firstLine="640"/>
        <w:jc w:val="both"/>
        <w:rPr>
          <w:rFonts w:ascii="仿宋_GB2312"/>
          <w:lang w:eastAsia="zh-CN"/>
        </w:rPr>
      </w:pPr>
      <w:r>
        <w:rPr>
          <w:rFonts w:hint="eastAsia" w:ascii="仿宋_GB2312"/>
          <w:lang w:eastAsia="zh-CN"/>
        </w:rPr>
        <w:t>标准属于浙江省物联网产业协会团体标准，为首次制定。</w:t>
      </w:r>
    </w:p>
    <w:p w14:paraId="2C7B2381">
      <w:pPr>
        <w:pStyle w:val="2"/>
        <w:ind w:firstLine="640"/>
        <w:rPr>
          <w:lang w:eastAsia="zh-CN"/>
        </w:rPr>
      </w:pPr>
      <w:r>
        <w:rPr>
          <w:rFonts w:hint="eastAsia"/>
          <w:lang w:eastAsia="zh-CN"/>
        </w:rPr>
        <w:t>七</w:t>
      </w:r>
      <w:r>
        <w:rPr>
          <w:lang w:eastAsia="zh-CN"/>
        </w:rPr>
        <w:t>、与有关法律、行政法规及相关标准的关系</w:t>
      </w:r>
    </w:p>
    <w:p w14:paraId="29035708">
      <w:pPr>
        <w:ind w:firstLine="640"/>
        <w:jc w:val="both"/>
        <w:rPr>
          <w:rFonts w:hint="eastAsia" w:ascii="仿宋_GB2312"/>
          <w:lang w:eastAsia="zh-CN"/>
        </w:rPr>
      </w:pPr>
      <w:r>
        <w:rPr>
          <w:rFonts w:hint="eastAsia" w:ascii="仿宋_GB2312"/>
          <w:lang w:eastAsia="zh-CN"/>
        </w:rPr>
        <w:t>本文件在编制过程中，严格遵循《中华人民共和国标准化法》《中华人民共和国网络安全法》《中华人民共和国数据安全法》《中华人民共和国电力法》等法律法规的总体要求，与国内现有电力监控、网络安全、数据中心设计及工业互联网平台相关标准形成互补和衔接，在参考架构层面填补了针对数据中心智能配电监控系统专项规范的空白。其中数据安全与网络安全条款依据GB/T 22239、GB/T 36572编制，设备安全条款依据DL/T 2337编制，系统架构与性能要求与GB 50174相协调，网络安全技术条款与DL/T 2335相衔接，同时与国际主流电力监控架构模型（如IEC 61850、IEC 62443）和工业物联网参考架构（如RAMI 4.0、IIRA）保持技术协同，确保标准的先进性、兼容性和合法性，为国内数据中心智能配电监控系统产品参与国际竞争、降低出海合规成本提供了标准语言和技术基础。</w:t>
      </w:r>
    </w:p>
    <w:sectPr>
      <w:pgSz w:w="11906" w:h="16838"/>
      <w:pgMar w:top="1440" w:right="1700" w:bottom="1440" w:left="170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方正小标宋简体">
    <w:altName w:val="方正舒体"/>
    <w:panose1 w:val="02010601030101010101"/>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61888590"/>
      <w:docPartObj>
        <w:docPartGallery w:val="autotext"/>
      </w:docPartObj>
    </w:sdtPr>
    <w:sdtContent>
      <w:p w14:paraId="2ED62617">
        <w:pPr>
          <w:pStyle w:val="8"/>
          <w:ind w:firstLine="360"/>
          <w:jc w:val="right"/>
        </w:pPr>
        <w:r>
          <w:fldChar w:fldCharType="begin"/>
        </w:r>
        <w:r>
          <w:instrText xml:space="preserve">PAGE   \* MERGEFORMAT</w:instrText>
        </w:r>
        <w:r>
          <w:fldChar w:fldCharType="separate"/>
        </w:r>
        <w:r>
          <w:rPr>
            <w:lang w:val="zh-CN" w:eastAsia="zh-CN"/>
          </w:rPr>
          <w:t>2</w:t>
        </w:r>
        <w:r>
          <w:fldChar w:fldCharType="end"/>
        </w:r>
      </w:p>
    </w:sdtContent>
  </w:sdt>
  <w:p w14:paraId="345B11C3">
    <w:pPr>
      <w:pStyle w:val="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2349D">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A90DB">
    <w:pPr>
      <w:pStyle w:val="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24B3D">
    <w:pPr>
      <w:pStyle w:val="9"/>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DCDA2">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457EB">
    <w:pPr>
      <w:pStyle w:val="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C6B1B3"/>
    <w:multiLevelType w:val="singleLevel"/>
    <w:tmpl w:val="62C6B1B3"/>
    <w:lvl w:ilvl="0" w:tentative="0">
      <w:start w:val="2"/>
      <w:numFmt w:val="decimal"/>
      <w:suff w:val="nothing"/>
      <w:lvlText w:val="（%1）"/>
      <w:lvlJc w:val="left"/>
    </w:lvl>
  </w:abstractNum>
  <w:abstractNum w:abstractNumId="1">
    <w:nsid w:val="67C22DB3"/>
    <w:multiLevelType w:val="singleLevel"/>
    <w:tmpl w:val="67C22DB3"/>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55C"/>
    <w:rsid w:val="0002511A"/>
    <w:rsid w:val="00026000"/>
    <w:rsid w:val="00093EC0"/>
    <w:rsid w:val="000D5F5E"/>
    <w:rsid w:val="00154292"/>
    <w:rsid w:val="00160848"/>
    <w:rsid w:val="00222D19"/>
    <w:rsid w:val="00281877"/>
    <w:rsid w:val="00291E56"/>
    <w:rsid w:val="002B7763"/>
    <w:rsid w:val="002C6D97"/>
    <w:rsid w:val="002D0151"/>
    <w:rsid w:val="00312672"/>
    <w:rsid w:val="0032549E"/>
    <w:rsid w:val="00350404"/>
    <w:rsid w:val="0035761C"/>
    <w:rsid w:val="0040489D"/>
    <w:rsid w:val="00415B67"/>
    <w:rsid w:val="00440130"/>
    <w:rsid w:val="00473D5D"/>
    <w:rsid w:val="004C7B00"/>
    <w:rsid w:val="004E6229"/>
    <w:rsid w:val="00537928"/>
    <w:rsid w:val="00585EC9"/>
    <w:rsid w:val="00602721"/>
    <w:rsid w:val="00624230"/>
    <w:rsid w:val="0067655C"/>
    <w:rsid w:val="006910EC"/>
    <w:rsid w:val="006D7C64"/>
    <w:rsid w:val="00715965"/>
    <w:rsid w:val="007A1BBD"/>
    <w:rsid w:val="007C792A"/>
    <w:rsid w:val="007E4888"/>
    <w:rsid w:val="00804712"/>
    <w:rsid w:val="0082423B"/>
    <w:rsid w:val="008324D3"/>
    <w:rsid w:val="00836D4E"/>
    <w:rsid w:val="00856ECA"/>
    <w:rsid w:val="008A1573"/>
    <w:rsid w:val="008D30EB"/>
    <w:rsid w:val="00933886"/>
    <w:rsid w:val="00963903"/>
    <w:rsid w:val="00972FC5"/>
    <w:rsid w:val="009D6A38"/>
    <w:rsid w:val="009F3F68"/>
    <w:rsid w:val="00A03FBF"/>
    <w:rsid w:val="00A37DB0"/>
    <w:rsid w:val="00A45816"/>
    <w:rsid w:val="00A82C95"/>
    <w:rsid w:val="00A87F7D"/>
    <w:rsid w:val="00A9681F"/>
    <w:rsid w:val="00B13258"/>
    <w:rsid w:val="00C15FF5"/>
    <w:rsid w:val="00C21B2D"/>
    <w:rsid w:val="00C566C6"/>
    <w:rsid w:val="00C642A5"/>
    <w:rsid w:val="00CF5614"/>
    <w:rsid w:val="00D03742"/>
    <w:rsid w:val="00DE3F33"/>
    <w:rsid w:val="00E25848"/>
    <w:rsid w:val="00E67ED5"/>
    <w:rsid w:val="00E94E04"/>
    <w:rsid w:val="00EA4D08"/>
    <w:rsid w:val="00EF0ADE"/>
    <w:rsid w:val="00F278A4"/>
    <w:rsid w:val="00FA47F9"/>
    <w:rsid w:val="0482510A"/>
    <w:rsid w:val="05C44437"/>
    <w:rsid w:val="14CF412D"/>
    <w:rsid w:val="2A7F1C3E"/>
    <w:rsid w:val="2C1F083A"/>
    <w:rsid w:val="2E907B44"/>
    <w:rsid w:val="3221224F"/>
    <w:rsid w:val="390E5EBF"/>
    <w:rsid w:val="6E511DCE"/>
    <w:rsid w:val="70CC1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560" w:lineRule="exact"/>
      <w:ind w:firstLine="200" w:firstLineChars="200"/>
      <w:textAlignment w:val="baseline"/>
    </w:pPr>
    <w:rPr>
      <w:rFonts w:ascii="Arial" w:hAnsi="Arial" w:eastAsia="仿宋_GB2312" w:cs="Arial"/>
      <w:snapToGrid w:val="0"/>
      <w:color w:val="000000"/>
      <w:kern w:val="0"/>
      <w:sz w:val="32"/>
      <w:szCs w:val="21"/>
      <w:lang w:val="en-US" w:eastAsia="en-US" w:bidi="ar-SA"/>
    </w:rPr>
  </w:style>
  <w:style w:type="paragraph" w:styleId="2">
    <w:name w:val="heading 1"/>
    <w:basedOn w:val="1"/>
    <w:next w:val="1"/>
    <w:link w:val="16"/>
    <w:qFormat/>
    <w:uiPriority w:val="9"/>
    <w:pPr>
      <w:keepNext/>
      <w:keepLines/>
      <w:spacing w:before="100" w:after="100"/>
      <w:outlineLvl w:val="0"/>
    </w:pPr>
    <w:rPr>
      <w:rFonts w:eastAsia="黑体"/>
      <w:bCs/>
      <w:kern w:val="44"/>
      <w:szCs w:val="44"/>
    </w:rPr>
  </w:style>
  <w:style w:type="paragraph" w:styleId="3">
    <w:name w:val="heading 2"/>
    <w:basedOn w:val="1"/>
    <w:next w:val="1"/>
    <w:link w:val="18"/>
    <w:unhideWhenUsed/>
    <w:qFormat/>
    <w:uiPriority w:val="9"/>
    <w:pPr>
      <w:keepNext/>
      <w:keepLines/>
      <w:spacing w:before="60" w:after="60"/>
      <w:outlineLvl w:val="1"/>
    </w:pPr>
    <w:rPr>
      <w:rFonts w:eastAsia="黑体" w:asciiTheme="majorHAnsi" w:hAnsiTheme="majorHAnsi" w:cstheme="majorBidi"/>
      <w:bCs/>
      <w:szCs w:val="32"/>
    </w:rPr>
  </w:style>
  <w:style w:type="paragraph" w:styleId="4">
    <w:name w:val="heading 3"/>
    <w:basedOn w:val="1"/>
    <w:next w:val="1"/>
    <w:link w:val="19"/>
    <w:unhideWhenUsed/>
    <w:qFormat/>
    <w:uiPriority w:val="9"/>
    <w:pPr>
      <w:keepNext/>
      <w:keepLines/>
      <w:outlineLvl w:val="2"/>
    </w:pPr>
    <w:rPr>
      <w:rFonts w:ascii="仿宋_GB2312"/>
      <w:b/>
      <w:bCs/>
      <w:szCs w:val="32"/>
    </w:rPr>
  </w:style>
  <w:style w:type="paragraph" w:styleId="5">
    <w:name w:val="heading 4"/>
    <w:basedOn w:val="1"/>
    <w:next w:val="1"/>
    <w:link w:val="17"/>
    <w:semiHidden/>
    <w:unhideWhenUsed/>
    <w:qFormat/>
    <w:uiPriority w:val="9"/>
    <w:pPr>
      <w:keepNext/>
      <w:keepLines/>
      <w:spacing w:before="280" w:after="290" w:line="376" w:lineRule="atLeast"/>
      <w:outlineLvl w:val="3"/>
    </w:pPr>
    <w:rPr>
      <w:rFonts w:asciiTheme="majorHAnsi" w:hAnsiTheme="majorHAnsi" w:eastAsiaTheme="majorEastAsia" w:cstheme="majorBidi"/>
      <w:b/>
      <w:bCs/>
      <w:sz w:val="28"/>
      <w:szCs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Body Text"/>
    <w:basedOn w:val="1"/>
    <w:link w:val="15"/>
    <w:semiHidden/>
    <w:qFormat/>
    <w:uiPriority w:val="0"/>
  </w:style>
  <w:style w:type="paragraph" w:styleId="7">
    <w:name w:val="Balloon Text"/>
    <w:basedOn w:val="1"/>
    <w:link w:val="20"/>
    <w:semiHidden/>
    <w:unhideWhenUsed/>
    <w:qFormat/>
    <w:uiPriority w:val="99"/>
    <w:pPr>
      <w:spacing w:line="240" w:lineRule="auto"/>
    </w:pPr>
    <w:rPr>
      <w:sz w:val="18"/>
      <w:szCs w:val="18"/>
    </w:rPr>
  </w:style>
  <w:style w:type="paragraph" w:styleId="8">
    <w:name w:val="footer"/>
    <w:basedOn w:val="1"/>
    <w:link w:val="14"/>
    <w:unhideWhenUsed/>
    <w:qFormat/>
    <w:uiPriority w:val="99"/>
    <w:pPr>
      <w:tabs>
        <w:tab w:val="center" w:pos="4153"/>
        <w:tab w:val="right" w:pos="8306"/>
      </w:tabs>
      <w:spacing w:line="240" w:lineRule="atLeast"/>
    </w:pPr>
    <w:rPr>
      <w:sz w:val="18"/>
      <w:szCs w:val="18"/>
    </w:rPr>
  </w:style>
  <w:style w:type="paragraph" w:styleId="9">
    <w:name w:val="header"/>
    <w:basedOn w:val="1"/>
    <w:link w:val="13"/>
    <w:unhideWhenUsed/>
    <w:qFormat/>
    <w:uiPriority w:val="99"/>
    <w:pPr>
      <w:pBdr>
        <w:bottom w:val="single" w:color="auto" w:sz="6" w:space="1"/>
      </w:pBdr>
      <w:tabs>
        <w:tab w:val="center" w:pos="4153"/>
        <w:tab w:val="right" w:pos="8306"/>
      </w:tabs>
      <w:spacing w:line="240" w:lineRule="atLeast"/>
      <w:jc w:val="center"/>
    </w:pPr>
    <w:rPr>
      <w:sz w:val="18"/>
      <w:szCs w:val="18"/>
    </w:rPr>
  </w:style>
  <w:style w:type="paragraph" w:styleId="10">
    <w:name w:val="Normal (Web)"/>
    <w:basedOn w:val="1"/>
    <w:semiHidden/>
    <w:unhideWhenUsed/>
    <w:qFormat/>
    <w:uiPriority w:val="99"/>
    <w:rPr>
      <w:sz w:val="24"/>
    </w:rPr>
  </w:style>
  <w:style w:type="character" w:customStyle="1" w:styleId="13">
    <w:name w:val="页眉 字符"/>
    <w:basedOn w:val="12"/>
    <w:link w:val="9"/>
    <w:qFormat/>
    <w:uiPriority w:val="99"/>
    <w:rPr>
      <w:rFonts w:ascii="仿宋" w:hAnsi="仿宋" w:eastAsia="仿宋" w:cs="仿宋"/>
      <w:kern w:val="0"/>
      <w:sz w:val="18"/>
      <w:szCs w:val="18"/>
      <w:lang w:val="zh-CN" w:bidi="zh-CN"/>
    </w:rPr>
  </w:style>
  <w:style w:type="character" w:customStyle="1" w:styleId="14">
    <w:name w:val="页脚 字符"/>
    <w:basedOn w:val="12"/>
    <w:link w:val="8"/>
    <w:qFormat/>
    <w:uiPriority w:val="99"/>
    <w:rPr>
      <w:rFonts w:ascii="仿宋" w:hAnsi="仿宋" w:eastAsia="仿宋" w:cs="仿宋"/>
      <w:kern w:val="0"/>
      <w:sz w:val="18"/>
      <w:szCs w:val="18"/>
      <w:lang w:val="zh-CN" w:bidi="zh-CN"/>
    </w:rPr>
  </w:style>
  <w:style w:type="character" w:customStyle="1" w:styleId="15">
    <w:name w:val="正文文本 字符"/>
    <w:basedOn w:val="12"/>
    <w:link w:val="6"/>
    <w:semiHidden/>
    <w:qFormat/>
    <w:uiPriority w:val="0"/>
    <w:rPr>
      <w:rFonts w:ascii="Arial" w:hAnsi="Arial" w:eastAsia="Arial" w:cs="Arial"/>
      <w:snapToGrid w:val="0"/>
      <w:color w:val="000000"/>
      <w:kern w:val="0"/>
      <w:szCs w:val="21"/>
      <w:lang w:eastAsia="en-US"/>
    </w:rPr>
  </w:style>
  <w:style w:type="character" w:customStyle="1" w:styleId="16">
    <w:name w:val="标题 1 字符"/>
    <w:basedOn w:val="12"/>
    <w:link w:val="2"/>
    <w:qFormat/>
    <w:uiPriority w:val="9"/>
    <w:rPr>
      <w:rFonts w:ascii="Arial" w:hAnsi="Arial" w:eastAsia="黑体" w:cs="Arial"/>
      <w:bCs/>
      <w:snapToGrid w:val="0"/>
      <w:color w:val="000000"/>
      <w:kern w:val="44"/>
      <w:sz w:val="32"/>
      <w:szCs w:val="44"/>
      <w:lang w:eastAsia="en-US"/>
    </w:rPr>
  </w:style>
  <w:style w:type="character" w:customStyle="1" w:styleId="17">
    <w:name w:val="标题 4 字符"/>
    <w:basedOn w:val="12"/>
    <w:link w:val="5"/>
    <w:semiHidden/>
    <w:qFormat/>
    <w:uiPriority w:val="9"/>
    <w:rPr>
      <w:rFonts w:asciiTheme="majorHAnsi" w:hAnsiTheme="majorHAnsi" w:eastAsiaTheme="majorEastAsia" w:cstheme="majorBidi"/>
      <w:b/>
      <w:bCs/>
      <w:snapToGrid w:val="0"/>
      <w:color w:val="000000"/>
      <w:kern w:val="0"/>
      <w:sz w:val="28"/>
      <w:szCs w:val="28"/>
      <w:lang w:eastAsia="en-US"/>
    </w:rPr>
  </w:style>
  <w:style w:type="character" w:customStyle="1" w:styleId="18">
    <w:name w:val="标题 2 字符"/>
    <w:basedOn w:val="12"/>
    <w:link w:val="3"/>
    <w:qFormat/>
    <w:uiPriority w:val="9"/>
    <w:rPr>
      <w:rFonts w:eastAsia="黑体" w:asciiTheme="majorHAnsi" w:hAnsiTheme="majorHAnsi" w:cstheme="majorBidi"/>
      <w:bCs/>
      <w:snapToGrid w:val="0"/>
      <w:color w:val="000000"/>
      <w:kern w:val="0"/>
      <w:sz w:val="32"/>
      <w:szCs w:val="32"/>
      <w:lang w:eastAsia="en-US"/>
    </w:rPr>
  </w:style>
  <w:style w:type="character" w:customStyle="1" w:styleId="19">
    <w:name w:val="标题 3 字符"/>
    <w:basedOn w:val="12"/>
    <w:link w:val="4"/>
    <w:qFormat/>
    <w:uiPriority w:val="9"/>
    <w:rPr>
      <w:rFonts w:ascii="仿宋_GB2312" w:hAnsi="Arial" w:eastAsia="仿宋_GB2312" w:cs="Arial"/>
      <w:b/>
      <w:bCs/>
      <w:snapToGrid w:val="0"/>
      <w:color w:val="000000"/>
      <w:kern w:val="0"/>
      <w:sz w:val="32"/>
      <w:szCs w:val="32"/>
      <w:lang w:eastAsia="en-US"/>
    </w:rPr>
  </w:style>
  <w:style w:type="character" w:customStyle="1" w:styleId="20">
    <w:name w:val="批注框文本 字符"/>
    <w:basedOn w:val="12"/>
    <w:link w:val="7"/>
    <w:semiHidden/>
    <w:qFormat/>
    <w:uiPriority w:val="99"/>
    <w:rPr>
      <w:rFonts w:ascii="Arial" w:hAnsi="Arial" w:eastAsia="仿宋_GB2312" w:cs="Arial"/>
      <w:snapToGrid w:val="0"/>
      <w:color w:val="000000"/>
      <w:kern w:val="0"/>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7220</Words>
  <Characters>7465</Characters>
  <Lines>48</Lines>
  <Paragraphs>13</Paragraphs>
  <TotalTime>13</TotalTime>
  <ScaleCrop>false</ScaleCrop>
  <LinksUpToDate>false</LinksUpToDate>
  <CharactersWithSpaces>7489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2026-07-09T07:58:00Z</dcterms:created>
  <dc:creator>junhang wu</dc:creator>
  <cp:lastModifiedBy>JZH</cp:lastModifiedBy>
  <dcterms:modified xsi:type="dcterms:W3CDTF">2026-10-13T02:24:55Z</dcterms:modified>
  <cp:revision>153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eyJoZGlkIjoiNWEyNDNkYTYxNjgwNGE5MWYxMzA2ZWZmZjI3NTIzODAiLCJ1c2VySWQiOiI0MzA0ODIyOTEifQ==</vt:lpwstr>
  </property>
  <property fmtid="{D5CDD505-2E9C-101B-9397-08002B2CF9AE}" pid="3" name="KSOProductBuildVer">
    <vt:lpwstr>2052-12.1.0.28505</vt:lpwstr>
  </property>
  <property fmtid="{D5CDD505-2E9C-101B-9397-08002B2CF9AE}" pid="4" name="ICV">
    <vt:lpwstr>F18954DB589E45A187356E0E23218FB1_13</vt:lpwstr>
  </property>
</Properties>
</file>